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A077" w14:textId="6222CF30" w:rsidR="000F6A78" w:rsidRDefault="00B7774B" w:rsidP="00194725">
      <w:pPr>
        <w:shd w:val="clear" w:color="auto" w:fill="FFFFFF"/>
        <w:ind w:hanging="284"/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  <w:lang w:eastAsia="en-GB"/>
        </w:rPr>
      </w:pPr>
      <w:r w:rsidRPr="00B7774B">
        <w:rPr>
          <w:rFonts w:asciiTheme="minorHAnsi" w:eastAsia="Times New Roman" w:hAnsiTheme="minorHAnsi" w:cstheme="minorHAnsi"/>
          <w:b/>
          <w:bCs/>
          <w:noProof/>
          <w:color w:val="201F1E"/>
          <w:sz w:val="22"/>
          <w:szCs w:val="22"/>
          <w:lang w:val="es-AR" w:eastAsia="es-AR"/>
        </w:rPr>
        <w:drawing>
          <wp:inline distT="0" distB="0" distL="0" distR="0" wp14:anchorId="7950BE22" wp14:editId="6D2AC1D5">
            <wp:extent cx="6030595" cy="711799"/>
            <wp:effectExtent l="0" t="0" r="0" b="0"/>
            <wp:docPr id="1" name="Picture 1" descr="C:\Users\GissaraD\Downloads\Untitled design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ssaraD\Downloads\Untitled design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1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49220" w14:textId="77777777" w:rsidR="00194725" w:rsidRPr="0024583A" w:rsidRDefault="00194725" w:rsidP="00194725">
      <w:pPr>
        <w:shd w:val="clear" w:color="auto" w:fill="FFFFFF"/>
        <w:ind w:hanging="284"/>
        <w:rPr>
          <w:rFonts w:asciiTheme="minorHAnsi" w:eastAsia="Times New Roman" w:hAnsiTheme="minorHAnsi" w:cstheme="minorHAnsi"/>
          <w:b/>
          <w:bCs/>
          <w:color w:val="201F1E"/>
          <w:sz w:val="22"/>
          <w:szCs w:val="22"/>
          <w:lang w:eastAsia="en-GB"/>
        </w:rPr>
      </w:pPr>
    </w:p>
    <w:p w14:paraId="083A45D7" w14:textId="77777777" w:rsidR="0024583A" w:rsidRPr="000F6A78" w:rsidRDefault="0024583A" w:rsidP="00720809">
      <w:pPr>
        <w:shd w:val="clear" w:color="auto" w:fill="FFFFFF"/>
        <w:ind w:firstLine="720"/>
        <w:jc w:val="center"/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</w:pPr>
    </w:p>
    <w:p w14:paraId="186D6A33" w14:textId="77777777" w:rsidR="000F6A78" w:rsidRPr="00272E95" w:rsidRDefault="00720809" w:rsidP="000F6A78">
      <w:pPr>
        <w:shd w:val="clear" w:color="auto" w:fill="FFFFFF"/>
        <w:rPr>
          <w:rFonts w:ascii="AvenirNext LT Pro Regular" w:eastAsia="Times New Roman" w:hAnsi="AvenirNext LT Pro Regular" w:cstheme="minorHAnsi"/>
          <w:b/>
          <w:bCs/>
          <w:color w:val="C00000"/>
          <w:sz w:val="32"/>
          <w:szCs w:val="32"/>
          <w:lang w:val="es-AR" w:eastAsia="en-GB"/>
        </w:rPr>
      </w:pPr>
      <w:r w:rsidRPr="00194725">
        <w:rPr>
          <w:rFonts w:ascii="AvenirNext LT Pro Regular" w:eastAsia="Times New Roman" w:hAnsi="AvenirNext LT Pro Regular" w:cstheme="minorHAnsi"/>
          <w:b/>
          <w:bCs/>
          <w:color w:val="C00000"/>
          <w:sz w:val="32"/>
          <w:szCs w:val="32"/>
          <w:lang w:eastAsia="en-GB"/>
        </w:rPr>
        <w:t xml:space="preserve">Transforming Education for Disability Inclusion: </w:t>
      </w:r>
    </w:p>
    <w:p w14:paraId="6CC34558" w14:textId="5CA3F150" w:rsidR="00720809" w:rsidRPr="00194725" w:rsidRDefault="00720809" w:rsidP="000F6A78">
      <w:pPr>
        <w:shd w:val="clear" w:color="auto" w:fill="FFFFFF"/>
        <w:rPr>
          <w:rFonts w:ascii="AvenirNext LT Pro Regular" w:eastAsia="Times New Roman" w:hAnsi="AvenirNext LT Pro Regular" w:cstheme="minorHAnsi"/>
          <w:color w:val="C00000"/>
          <w:sz w:val="28"/>
          <w:szCs w:val="28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bCs/>
          <w:color w:val="C00000"/>
          <w:sz w:val="28"/>
          <w:szCs w:val="28"/>
          <w:lang w:eastAsia="en-GB"/>
        </w:rPr>
        <w:t>A Call to Action for All Children</w:t>
      </w:r>
    </w:p>
    <w:p w14:paraId="1A483902" w14:textId="77777777" w:rsidR="00720809" w:rsidRPr="000F6A78" w:rsidRDefault="00720809" w:rsidP="00720809">
      <w:pPr>
        <w:shd w:val="clear" w:color="auto" w:fill="FFFFFF"/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  <w:r w:rsidRPr="000F6A78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 </w:t>
      </w:r>
    </w:p>
    <w:p w14:paraId="1727BEA2" w14:textId="1BA4D028" w:rsidR="0024583A" w:rsidRPr="00194725" w:rsidRDefault="00720809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The Transforming Education Summit is a</w:t>
      </w:r>
      <w:r w:rsidR="0024583A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n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opportunity for world leaders to commit to transforming education so that every child in the world can</w:t>
      </w:r>
      <w:r w:rsidR="0024583A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access </w:t>
      </w:r>
      <w:r w:rsidRPr="00B679EF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quality, equitable, inclusive education</w:t>
      </w:r>
      <w:r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  <w:t xml:space="preserve"> 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and lifelong learning. </w:t>
      </w:r>
    </w:p>
    <w:p w14:paraId="3D51FA5A" w14:textId="77777777" w:rsidR="0024583A" w:rsidRPr="00194725" w:rsidRDefault="0024583A" w:rsidP="00F42D18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24FA1CFF" w14:textId="53EE587C" w:rsidR="0024583A" w:rsidRPr="00194725" w:rsidRDefault="00720809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This includes the </w:t>
      </w:r>
      <w:r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>240 million children with disabilities</w:t>
      </w:r>
      <w:r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  <w:t xml:space="preserve"> 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worldwide who, even before COVID-19 disruptions to education, experienc</w:t>
      </w:r>
      <w:r w:rsidR="0024583A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ed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disparities in learning. Compared to children without disabilities, children with disabilities </w:t>
      </w:r>
      <w:r w:rsidR="00F44678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we</w:t>
      </w:r>
      <w:r w:rsidR="0024583A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re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49% more likely to have never attended school and 42% less likely to have foundational reading and numeracy skills</w:t>
      </w:r>
      <w:r w:rsidR="00195025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(</w:t>
      </w:r>
      <w:hyperlink r:id="rId11" w:history="1">
        <w:r w:rsidR="00195025" w:rsidRPr="00194725">
          <w:rPr>
            <w:rStyle w:val="Hyperlink"/>
            <w:rFonts w:ascii="AvenirNext LT Pro Regular" w:eastAsia="Times New Roman" w:hAnsi="AvenirNext LT Pro Regular" w:cstheme="minorHAnsi"/>
            <w:sz w:val="22"/>
            <w:szCs w:val="22"/>
            <w:lang w:eastAsia="en-GB"/>
          </w:rPr>
          <w:t>UNICEF, 2021</w:t>
        </w:r>
      </w:hyperlink>
      <w:r w:rsidR="00195025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)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.</w:t>
      </w:r>
      <w:r w:rsidR="0024583A" w:rsidRPr="00194725"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  <w:t xml:space="preserve"> 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The COVID-19 pandemic exacerbated these discrepancies, compounding the learning crisis for the most marginalized learners. </w:t>
      </w:r>
    </w:p>
    <w:p w14:paraId="21912318" w14:textId="77777777" w:rsidR="0024583A" w:rsidRPr="00194725" w:rsidRDefault="0024583A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73DA0BE5" w14:textId="77777777" w:rsidR="0024583A" w:rsidRPr="00194725" w:rsidRDefault="00720809" w:rsidP="00720809">
      <w:pPr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Transforming education to reach all learners, including those with disabilities, is needed to ensure resilient and inclusive education systems. </w:t>
      </w:r>
      <w:r w:rsidR="0024583A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Solutions that support the inclusion of learners with disabilities, who are often those most at risk of neglect, stigma and abuse, are the same approaches that support the well-being and success of all learners. </w:t>
      </w:r>
    </w:p>
    <w:p w14:paraId="27397DB7" w14:textId="77777777" w:rsidR="0024583A" w:rsidRPr="00194725" w:rsidRDefault="0024583A" w:rsidP="00720809">
      <w:pPr>
        <w:rPr>
          <w:rFonts w:ascii="AvenirNext LT Pro Regular" w:eastAsia="Times New Roman" w:hAnsi="AvenirNext LT Pro Regular" w:cstheme="minorHAnsi"/>
          <w:b/>
          <w:color w:val="000000"/>
          <w:sz w:val="22"/>
          <w:szCs w:val="22"/>
          <w:lang w:eastAsia="en-GB"/>
        </w:rPr>
      </w:pPr>
    </w:p>
    <w:p w14:paraId="3116553D" w14:textId="4D5CA3C8" w:rsidR="0024583A" w:rsidRPr="00194725" w:rsidRDefault="0024583A" w:rsidP="0024583A">
      <w:pPr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</w:pPr>
      <w:r w:rsidRPr="00B679EF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Inclusive education, b</w:t>
      </w:r>
      <w:r w:rsidR="00720809" w:rsidRPr="00B679EF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y focusing on the well-being and success of students with disabilities,</w:t>
      </w:r>
      <w:r w:rsidR="00720809"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  <w:t xml:space="preserve"> </w:t>
      </w:r>
      <w:r w:rsidR="00720809" w:rsidRPr="00B679EF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is a means of</w:t>
      </w:r>
      <w:r w:rsidR="00720809"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  <w:t xml:space="preserve"> </w:t>
      </w:r>
      <w:r w:rsidR="00720809"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 xml:space="preserve">achieving high-quality education for all children and young people </w:t>
      </w:r>
      <w:r w:rsidR="00720809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(</w:t>
      </w:r>
      <w:hyperlink r:id="rId12" w:history="1">
        <w:r w:rsidR="00720809" w:rsidRPr="00194725">
          <w:rPr>
            <w:rFonts w:ascii="AvenirNext LT Pro Regular" w:eastAsia="Times New Roman" w:hAnsi="AvenirNext LT Pro Regular" w:cstheme="minorHAnsi"/>
            <w:color w:val="1155CC"/>
            <w:sz w:val="22"/>
            <w:szCs w:val="22"/>
            <w:u w:val="single"/>
            <w:lang w:eastAsia="en-GB"/>
          </w:rPr>
          <w:t>UNCRPD, Art24 GC4</w:t>
        </w:r>
      </w:hyperlink>
      <w:r w:rsidR="00720809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). </w:t>
      </w:r>
      <w:r w:rsidRPr="00194725">
        <w:rPr>
          <w:rFonts w:ascii="AvenirNext LT Pro Regular" w:eastAsia="Times New Roman" w:hAnsi="AvenirNext LT Pro Regular" w:cstheme="minorHAnsi"/>
          <w:bCs/>
          <w:color w:val="201F1E"/>
          <w:sz w:val="22"/>
          <w:szCs w:val="22"/>
          <w:lang w:eastAsia="en-GB"/>
        </w:rPr>
        <w:t>Investment in inclusive education systems,</w:t>
      </w:r>
      <w:r w:rsidRPr="00194725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 xml:space="preserve"> 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with diversity at the core, is key to transforming education</w:t>
      </w:r>
      <w:r w:rsidRPr="00194725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>. </w:t>
      </w:r>
    </w:p>
    <w:p w14:paraId="69BDA38B" w14:textId="77777777" w:rsidR="0024583A" w:rsidRPr="00194725" w:rsidRDefault="0024583A" w:rsidP="0024583A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73BBCCAC" w14:textId="7DA42CFD" w:rsidR="00720809" w:rsidRPr="00194725" w:rsidRDefault="00720809" w:rsidP="500CE2EC">
      <w:pPr>
        <w:shd w:val="clear" w:color="auto" w:fill="FFFFFF" w:themeFill="background1"/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bCs/>
          <w:color w:val="201F1E"/>
          <w:sz w:val="22"/>
          <w:szCs w:val="22"/>
          <w:lang w:eastAsia="en-GB"/>
        </w:rPr>
        <w:t xml:space="preserve">Recognising the power of inclusive education to transform education, </w:t>
      </w:r>
      <w:r w:rsidR="0024583A" w:rsidRPr="00194725">
        <w:rPr>
          <w:rFonts w:ascii="AvenirNext LT Pro Regular" w:eastAsia="Times New Roman" w:hAnsi="AvenirNext LT Pro Regular" w:cstheme="minorHAnsi"/>
          <w:bCs/>
          <w:color w:val="201F1E"/>
          <w:sz w:val="22"/>
          <w:szCs w:val="22"/>
          <w:lang w:eastAsia="en-GB"/>
        </w:rPr>
        <w:t>we c</w:t>
      </w:r>
      <w:r w:rsidRPr="00194725">
        <w:rPr>
          <w:rFonts w:ascii="AvenirNext LT Pro Regular" w:eastAsia="Times New Roman" w:hAnsi="AvenirNext LT Pro Regular" w:cstheme="minorHAnsi"/>
          <w:bCs/>
          <w:color w:val="201F1E"/>
          <w:sz w:val="22"/>
          <w:szCs w:val="22"/>
          <w:lang w:eastAsia="en-GB"/>
        </w:rPr>
        <w:t>all on everyone to show that the 240 million children with disabilities</w:t>
      </w:r>
      <w:r w:rsidR="0024583A" w:rsidRPr="00194725">
        <w:rPr>
          <w:rFonts w:ascii="AvenirNext LT Pro Regular" w:eastAsia="Times New Roman" w:hAnsi="AvenirNext LT Pro Regular" w:cstheme="minorHAnsi"/>
          <w:bCs/>
          <w:color w:val="201F1E"/>
          <w:sz w:val="22"/>
          <w:szCs w:val="22"/>
          <w:lang w:eastAsia="en-GB"/>
        </w:rPr>
        <w:t xml:space="preserve"> </w:t>
      </w:r>
      <w:r w:rsidRPr="00194725">
        <w:rPr>
          <w:rFonts w:ascii="AvenirNext LT Pro Regular" w:eastAsia="Times New Roman" w:hAnsi="AvenirNext LT Pro Regular" w:cstheme="minorHAnsi"/>
          <w:bCs/>
          <w:color w:val="201F1E"/>
          <w:sz w:val="22"/>
          <w:szCs w:val="22"/>
          <w:lang w:eastAsia="en-GB"/>
        </w:rPr>
        <w:t>matter and commit, by 2030, to: </w:t>
      </w:r>
    </w:p>
    <w:p w14:paraId="06A7DA86" w14:textId="77777777" w:rsidR="00720809" w:rsidRPr="00194725" w:rsidRDefault="00720809" w:rsidP="00720809">
      <w:pPr>
        <w:shd w:val="clear" w:color="auto" w:fill="FFFFFF"/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  <w:t> </w:t>
      </w:r>
    </w:p>
    <w:p w14:paraId="7076F9DA" w14:textId="34F0CB1C" w:rsidR="00720809" w:rsidRPr="00194725" w:rsidRDefault="00720809" w:rsidP="00B06480">
      <w:pPr>
        <w:pStyle w:val="ListParagraph"/>
        <w:numPr>
          <w:ilvl w:val="0"/>
          <w:numId w:val="8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bookmarkStart w:id="0" w:name="_Hlk113618705"/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Progressively increase budgetary allocations for disability-inclusive education to</w:t>
      </w:r>
      <w:r w:rsidR="00190B3B"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wards being</w:t>
      </w: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</w:t>
      </w:r>
      <w:r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shd w:val="clear" w:color="auto" w:fill="FFFFFF"/>
          <w:lang w:eastAsia="en-GB"/>
        </w:rPr>
        <w:t xml:space="preserve">at least 5% of education </w:t>
      </w:r>
      <w:r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>budgets</w:t>
      </w:r>
      <w:r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shd w:val="clear" w:color="auto" w:fill="FFFFFF"/>
          <w:lang w:eastAsia="en-GB"/>
        </w:rPr>
        <w:t>. </w:t>
      </w:r>
    </w:p>
    <w:bookmarkEnd w:id="0"/>
    <w:p w14:paraId="1F5C22B9" w14:textId="719FE27E" w:rsidR="00720809" w:rsidRPr="00194725" w:rsidRDefault="00720809" w:rsidP="00B06480">
      <w:pPr>
        <w:pStyle w:val="ListParagraph"/>
        <w:ind w:left="1080"/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2CACD6DE" w14:textId="585B6D6E" w:rsidR="00720809" w:rsidRPr="00194725" w:rsidRDefault="00720809" w:rsidP="00B06480">
      <w:pPr>
        <w:pStyle w:val="ListParagraph"/>
        <w:numPr>
          <w:ilvl w:val="0"/>
          <w:numId w:val="8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Set </w:t>
      </w:r>
      <w:r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a medium to long-term target </w:t>
      </w:r>
      <w:r w:rsidR="00D01CB4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to </w:t>
      </w:r>
      <w:r w:rsidR="00D01CB4"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 xml:space="preserve">ensure all </w:t>
      </w:r>
      <w:r w:rsidR="008822D2"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>learners</w:t>
      </w:r>
      <w:r w:rsidR="00723901"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 xml:space="preserve"> with disabilities are reached in all education programmes</w:t>
      </w:r>
      <w:r w:rsidR="0078179A"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  <w:t xml:space="preserve">, </w:t>
      </w:r>
      <w:r w:rsidR="00AB0AC0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recognising that </w:t>
      </w:r>
      <w:r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at least 10% of </w:t>
      </w:r>
      <w:r w:rsidR="00AB0AC0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lea</w:t>
      </w:r>
      <w:r w:rsidR="0078179A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rners </w:t>
      </w:r>
      <w:r w:rsidR="00AB0AC0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in any country will be </w:t>
      </w:r>
      <w:r w:rsidR="0078179A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learners</w:t>
      </w:r>
      <w:r w:rsidR="008822D2"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 with disabilities</w:t>
      </w:r>
      <w:r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. </w:t>
      </w:r>
    </w:p>
    <w:p w14:paraId="4A183DB8" w14:textId="77777777" w:rsidR="00190B3B" w:rsidRPr="00194725" w:rsidRDefault="00190B3B" w:rsidP="00190B3B">
      <w:pPr>
        <w:pStyle w:val="ListParagraph"/>
        <w:ind w:left="1080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</w:p>
    <w:p w14:paraId="2B2617A9" w14:textId="32E65A05" w:rsidR="00720809" w:rsidRPr="00194725" w:rsidRDefault="00720809" w:rsidP="0032601A">
      <w:pPr>
        <w:pStyle w:val="ListParagraph"/>
        <w:numPr>
          <w:ilvl w:val="0"/>
          <w:numId w:val="8"/>
        </w:numPr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Ensure all education programmes and grants mainstream disability and include </w:t>
      </w:r>
      <w:r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>disability-inclusion criteria and targets</w:t>
      </w:r>
      <w:r w:rsidRPr="00B679EF"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  <w:t>. </w:t>
      </w:r>
    </w:p>
    <w:p w14:paraId="6F6680E3" w14:textId="77777777" w:rsidR="00720809" w:rsidRPr="00194725" w:rsidRDefault="00720809" w:rsidP="00720809">
      <w:pPr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4A6B8424" w14:textId="67C47628" w:rsidR="00720809" w:rsidRPr="00194725" w:rsidRDefault="00720809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194725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Achieving these three commitments would not only reverse the education gap for children with disabilities but would transform education systems in a way that will bring benefits to all and will help make greater, and more rapid, progress towards the achievement of SDG4. </w:t>
      </w:r>
    </w:p>
    <w:p w14:paraId="76F5DAEF" w14:textId="50DCED12" w:rsidR="000F6A78" w:rsidRPr="00194725" w:rsidRDefault="000F6A78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467FBB42" w14:textId="2D3FA626" w:rsidR="000F6A78" w:rsidRPr="00194725" w:rsidRDefault="000F6A78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7DD5CB1B" w14:textId="37AA2C13" w:rsidR="000F6A78" w:rsidRDefault="000F6A78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16699E7C" w14:textId="6CF1BCC2" w:rsidR="00F42D18" w:rsidRDefault="00F42D18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10E343C8" w14:textId="79AC194F" w:rsidR="00F42D18" w:rsidRDefault="00F42D18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5A53DABE" w14:textId="77777777" w:rsidR="00F42D18" w:rsidRPr="00194725" w:rsidRDefault="00F42D18" w:rsidP="00720809">
      <w:pPr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</w:p>
    <w:p w14:paraId="19B946B3" w14:textId="0C205E55" w:rsidR="00720809" w:rsidRPr="00194725" w:rsidRDefault="00720809" w:rsidP="00720809">
      <w:pPr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3EA06812" w14:textId="77777777" w:rsidR="00F42D18" w:rsidRDefault="00F42D18" w:rsidP="00720809">
      <w:pPr>
        <w:rPr>
          <w:rFonts w:ascii="AvenirNext LT Pro Regular" w:eastAsia="Times New Roman" w:hAnsi="AvenirNext LT Pro Regular" w:cstheme="minorHAnsi"/>
          <w:b/>
          <w:bCs/>
          <w:color w:val="C00000"/>
          <w:sz w:val="28"/>
          <w:szCs w:val="28"/>
          <w:lang w:eastAsia="en-GB"/>
        </w:rPr>
      </w:pPr>
    </w:p>
    <w:p w14:paraId="73DA10E6" w14:textId="22B88E93" w:rsidR="00720809" w:rsidRPr="00B679EF" w:rsidRDefault="00720809" w:rsidP="00720809">
      <w:pPr>
        <w:rPr>
          <w:rFonts w:ascii="AvenirNext LT Pro Regular" w:eastAsia="Times New Roman" w:hAnsi="AvenirNext LT Pro Regular" w:cstheme="minorHAnsi"/>
          <w:b/>
          <w:bCs/>
          <w:color w:val="C00000"/>
          <w:sz w:val="32"/>
          <w:szCs w:val="32"/>
          <w:lang w:eastAsia="en-GB"/>
        </w:rPr>
      </w:pPr>
      <w:r w:rsidRPr="00B679EF">
        <w:rPr>
          <w:rFonts w:ascii="AvenirNext LT Pro Regular" w:eastAsia="Times New Roman" w:hAnsi="AvenirNext LT Pro Regular" w:cstheme="minorHAnsi"/>
          <w:b/>
          <w:bCs/>
          <w:color w:val="C00000"/>
          <w:sz w:val="32"/>
          <w:szCs w:val="32"/>
          <w:lang w:eastAsia="en-GB"/>
        </w:rPr>
        <w:lastRenderedPageBreak/>
        <w:t>How to meet the commitments?</w:t>
      </w:r>
    </w:p>
    <w:p w14:paraId="1D426BDB" w14:textId="77777777" w:rsidR="00B679EF" w:rsidRPr="00F42D18" w:rsidRDefault="00B679EF" w:rsidP="00720809">
      <w:pPr>
        <w:rPr>
          <w:rFonts w:ascii="AvenirNext LT Pro Regular" w:eastAsia="Times New Roman" w:hAnsi="AvenirNext LT Pro Regular" w:cstheme="minorHAnsi"/>
          <w:color w:val="C00000"/>
          <w:sz w:val="28"/>
          <w:szCs w:val="28"/>
          <w:lang w:eastAsia="en-GB"/>
        </w:rPr>
      </w:pPr>
    </w:p>
    <w:p w14:paraId="0FC73986" w14:textId="77777777" w:rsidR="00720809" w:rsidRPr="002D3A72" w:rsidRDefault="00720809" w:rsidP="00720809">
      <w:pPr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68F687CB" w14:textId="6A9B5B4D" w:rsidR="00720809" w:rsidRPr="002D3A72" w:rsidRDefault="00720809" w:rsidP="002D3A72">
      <w:pPr>
        <w:pStyle w:val="ListParagraph"/>
        <w:numPr>
          <w:ilvl w:val="0"/>
          <w:numId w:val="11"/>
        </w:numPr>
        <w:ind w:left="360"/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shd w:val="clear" w:color="auto" w:fill="FFFFFF"/>
          <w:lang w:eastAsia="en-GB"/>
        </w:rPr>
        <w:t>Progressively increase budgetary allocations for disability-inclusive education to</w:t>
      </w:r>
      <w:r w:rsidR="005B120A" w:rsidRPr="002D3A72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shd w:val="clear" w:color="auto" w:fill="FFFFFF"/>
          <w:lang w:eastAsia="en-GB"/>
        </w:rPr>
        <w:t xml:space="preserve">wards being </w:t>
      </w:r>
      <w:r w:rsidRPr="002D3A72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shd w:val="clear" w:color="auto" w:fill="FFFFFF"/>
          <w:lang w:eastAsia="en-GB"/>
        </w:rPr>
        <w:t>at least 5% of education</w:t>
      </w:r>
      <w:r w:rsidRPr="002D3A72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> budgets</w:t>
      </w:r>
      <w:r w:rsidRPr="002D3A72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shd w:val="clear" w:color="auto" w:fill="FFFFFF"/>
          <w:lang w:eastAsia="en-GB"/>
        </w:rPr>
        <w:t>.</w:t>
      </w:r>
      <w:r w:rsidRPr="002D3A72">
        <w:rPr>
          <w:rFonts w:ascii="AvenirNext LT Pro Regular" w:eastAsia="Times New Roman" w:hAnsi="AvenirNext LT Pro Regular" w:cstheme="minorHAnsi"/>
          <w:color w:val="C00000"/>
          <w:sz w:val="22"/>
          <w:szCs w:val="22"/>
          <w:shd w:val="clear" w:color="auto" w:fill="FFFFFF"/>
          <w:lang w:eastAsia="en-GB"/>
        </w:rPr>
        <w:t> </w:t>
      </w:r>
    </w:p>
    <w:p w14:paraId="650A9594" w14:textId="77777777" w:rsidR="00B679EF" w:rsidRPr="002D3A72" w:rsidRDefault="00B679EF" w:rsidP="002D3A72">
      <w:pPr>
        <w:pStyle w:val="ListParagraph"/>
        <w:ind w:left="360"/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</w:pPr>
    </w:p>
    <w:p w14:paraId="54C466D6" w14:textId="717DD160" w:rsidR="00720809" w:rsidRPr="002D3A72" w:rsidRDefault="00720809" w:rsidP="002D3A72">
      <w:pPr>
        <w:numPr>
          <w:ilvl w:val="0"/>
          <w:numId w:val="4"/>
        </w:numPr>
        <w:textAlignment w:val="baseline"/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shd w:val="clear" w:color="auto" w:fill="FFFFFF"/>
          <w:lang w:eastAsia="en-GB"/>
        </w:rPr>
        <w:t>Adopt a 'twin-track' approach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to education budgeting that promotes system wide transformation 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to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improve the quality of education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for all,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</w:t>
      </w:r>
      <w:r w:rsidR="00195025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whilst also providing targeted support to learners with disabilities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. This includes</w:t>
      </w:r>
      <w:r w:rsidR="006B1C37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increasing the number of 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specialised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teachers and support staff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a</w:t>
      </w:r>
      <w:r w:rsidR="006B1C37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s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well as</w:t>
      </w:r>
      <w:r w:rsidR="006B1C37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accessible edtech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and ensuring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early identification and support</w:t>
      </w:r>
      <w:r w:rsidR="00CF46EB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for learners with disabilities.</w:t>
      </w:r>
    </w:p>
    <w:p w14:paraId="0DAA15C2" w14:textId="25A40F93" w:rsidR="00720809" w:rsidRPr="002D3A72" w:rsidRDefault="00CF46EB" w:rsidP="002D3A72">
      <w:pPr>
        <w:numPr>
          <w:ilvl w:val="0"/>
          <w:numId w:val="4"/>
        </w:numPr>
        <w:textAlignment w:val="baseline"/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shd w:val="clear" w:color="auto" w:fill="FFFFFF"/>
          <w:lang w:eastAsia="en-GB"/>
        </w:rPr>
        <w:t xml:space="preserve">Fund the </w:t>
      </w:r>
      <w:r w:rsidR="00720809"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 xml:space="preserve">specific </w:t>
      </w:r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 xml:space="preserve">support </w:t>
      </w:r>
      <w:r w:rsidR="00720809"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>needs</w:t>
      </w:r>
      <w:r w:rsidR="00720809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of students with disabilities by budgeting for assistive technology, </w:t>
      </w:r>
      <w:r w:rsidR="003277F0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s</w:t>
      </w:r>
      <w:r w:rsidR="00720809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ign-language interpretation</w:t>
      </w:r>
      <w:r w:rsidR="00CB5DF6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,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and </w:t>
      </w:r>
      <w:r w:rsidR="00CB5DF6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captioning, among others</w:t>
      </w:r>
      <w:r w:rsidR="00720809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. </w:t>
      </w:r>
      <w:r w:rsidR="00720809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Progressively phase out segregated schools and </w:t>
      </w:r>
      <w:r w:rsidR="00720809"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shd w:val="clear" w:color="auto" w:fill="FFFFFF"/>
          <w:lang w:eastAsia="en-GB"/>
        </w:rPr>
        <w:t>reinvest in delivering truly inclusive education</w:t>
      </w:r>
      <w:r w:rsidR="00720809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.</w:t>
      </w:r>
    </w:p>
    <w:p w14:paraId="51116A2C" w14:textId="200B7052" w:rsidR="00720809" w:rsidRPr="002D3A72" w:rsidRDefault="00720809" w:rsidP="002D3A72">
      <w:pPr>
        <w:numPr>
          <w:ilvl w:val="0"/>
          <w:numId w:val="4"/>
        </w:numPr>
        <w:textAlignment w:val="baseline"/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>Invest in teacher training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that enables and empowers teachers to create learning environments that accommodate diverse learning styles, such as </w:t>
      </w:r>
      <w:r w:rsidR="4E1E4AF8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applying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Universal Design for Learning, and accessible assessments.</w:t>
      </w:r>
    </w:p>
    <w:p w14:paraId="24230AC1" w14:textId="5EEDC99B" w:rsidR="00720809" w:rsidRPr="002D3A72" w:rsidRDefault="00720809" w:rsidP="002D3A72">
      <w:pPr>
        <w:numPr>
          <w:ilvl w:val="0"/>
          <w:numId w:val="4"/>
        </w:numPr>
        <w:textAlignment w:val="baseline"/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color w:val="201F1E"/>
          <w:sz w:val="22"/>
          <w:szCs w:val="22"/>
          <w:shd w:val="clear" w:color="auto" w:fill="FFFFFF"/>
          <w:lang w:eastAsia="en-GB"/>
        </w:rPr>
        <w:t xml:space="preserve">Promote </w:t>
      </w:r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shd w:val="clear" w:color="auto" w:fill="FFFFFF"/>
          <w:lang w:eastAsia="en-GB"/>
        </w:rPr>
        <w:t>participatory budgeting and budget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transparency that meaningfully engages learners with disabilities, organisations of and for persons with disabilities, and the teachers, parents</w:t>
      </w:r>
      <w:r w:rsidR="0024583A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>,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and carers of learners with disabilities. </w:t>
      </w:r>
    </w:p>
    <w:p w14:paraId="6F604FBF" w14:textId="3D370C2C" w:rsidR="00720809" w:rsidRPr="002D3A72" w:rsidRDefault="003137EC" w:rsidP="002D3A72">
      <w:pPr>
        <w:numPr>
          <w:ilvl w:val="0"/>
          <w:numId w:val="4"/>
        </w:numPr>
        <w:textAlignment w:val="baseline"/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bookmarkStart w:id="1" w:name="_Hlk113545182"/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shd w:val="clear" w:color="auto" w:fill="FFFFFF"/>
          <w:lang w:eastAsia="en-GB"/>
        </w:rPr>
        <w:t>Strengthen</w:t>
      </w:r>
      <w:r w:rsidR="00720809"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shd w:val="clear" w:color="auto" w:fill="FFFFFF"/>
          <w:lang w:eastAsia="en-GB"/>
        </w:rPr>
        <w:t xml:space="preserve"> inter-sectoral alignment of budgets</w:t>
      </w:r>
      <w:r w:rsidR="00720809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 to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shd w:val="clear" w:color="auto" w:fill="FFFFFF"/>
          <w:lang w:eastAsia="en-GB"/>
        </w:rPr>
        <w:t xml:space="preserve">enable the provision of 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full support systems</w:t>
      </w: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 that respond to the interconnectedness of health</w:t>
      </w:r>
      <w:bookmarkStart w:id="2" w:name="_GoBack"/>
      <w:bookmarkEnd w:id="2"/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, social protection, transportation, education (and other related sectors</w:t>
      </w:r>
      <w:r w:rsidR="0EF98E9E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) 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for children and youth with disabilities and their families, from birth onward</w:t>
      </w:r>
      <w:bookmarkEnd w:id="1"/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.</w:t>
      </w:r>
    </w:p>
    <w:p w14:paraId="5CE05715" w14:textId="77777777" w:rsidR="00720809" w:rsidRPr="002D3A72" w:rsidRDefault="00720809" w:rsidP="002D3A72">
      <w:pPr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491B91BE" w14:textId="21A334CA" w:rsidR="00720809" w:rsidRPr="002D3A72" w:rsidRDefault="00720809" w:rsidP="002D3A72">
      <w:pPr>
        <w:ind w:left="360"/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For practical ideas on how this can be done</w:t>
      </w:r>
      <w:r w:rsidR="0024583A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,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review and</w:t>
      </w:r>
      <w:r w:rsidR="0024583A"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 </w:t>
      </w:r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 xml:space="preserve">use the </w:t>
      </w:r>
      <w:r w:rsidRPr="002D3A72">
        <w:rPr>
          <w:rFonts w:ascii="AvenirNext LT Pro Regular" w:eastAsia="Times New Roman" w:hAnsi="AvenirNext LT Pro Regular" w:cstheme="minorHAnsi"/>
          <w:b/>
          <w:bCs/>
          <w:color w:val="201F1E"/>
          <w:sz w:val="22"/>
          <w:szCs w:val="22"/>
          <w:lang w:eastAsia="en-GB"/>
        </w:rPr>
        <w:t xml:space="preserve">disability and gender responsive budgeting </w:t>
      </w:r>
      <w:hyperlink r:id="rId13" w:history="1">
        <w:r w:rsidRPr="002D3A72">
          <w:rPr>
            <w:rFonts w:ascii="AvenirNext LT Pro Regular" w:eastAsia="Times New Roman" w:hAnsi="AvenirNext LT Pro Regular" w:cstheme="minorHAnsi"/>
            <w:b/>
            <w:bCs/>
            <w:color w:val="1155CC"/>
            <w:sz w:val="22"/>
            <w:szCs w:val="22"/>
            <w:u w:val="single"/>
            <w:lang w:eastAsia="en-GB"/>
          </w:rPr>
          <w:t>toolkit</w:t>
        </w:r>
      </w:hyperlink>
      <w:r w:rsidRPr="002D3A72">
        <w:rPr>
          <w:rFonts w:ascii="AvenirNext LT Pro Regular" w:eastAsia="Times New Roman" w:hAnsi="AvenirNext LT Pro Regular" w:cstheme="minorHAnsi"/>
          <w:color w:val="201F1E"/>
          <w:sz w:val="22"/>
          <w:szCs w:val="22"/>
          <w:lang w:eastAsia="en-GB"/>
        </w:rPr>
        <w:t>.</w:t>
      </w:r>
    </w:p>
    <w:p w14:paraId="58E4E972" w14:textId="54A31433" w:rsidR="00D549AF" w:rsidRPr="002D3A72" w:rsidRDefault="00D549AF" w:rsidP="002D3A72">
      <w:pPr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778ACBC7" w14:textId="77777777" w:rsidR="00B679EF" w:rsidRPr="002D3A72" w:rsidRDefault="00B679EF" w:rsidP="002D3A72">
      <w:pPr>
        <w:rPr>
          <w:rFonts w:ascii="AvenirNext LT Pro Regular" w:eastAsia="Times New Roman" w:hAnsi="AvenirNext LT Pro Regular" w:cstheme="minorHAnsi"/>
          <w:sz w:val="22"/>
          <w:szCs w:val="22"/>
          <w:lang w:eastAsia="en-GB"/>
        </w:rPr>
      </w:pPr>
    </w:p>
    <w:p w14:paraId="2713A91C" w14:textId="27124428" w:rsidR="005B120A" w:rsidRPr="002D3A72" w:rsidRDefault="00720809" w:rsidP="002D3A72">
      <w:pPr>
        <w:pStyle w:val="ListParagraph"/>
        <w:numPr>
          <w:ilvl w:val="0"/>
          <w:numId w:val="11"/>
        </w:numPr>
        <w:ind w:left="270" w:hanging="270"/>
        <w:textAlignment w:val="baseline"/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  <w:t xml:space="preserve">Set </w:t>
      </w:r>
      <w:r w:rsidRPr="002D3A72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 xml:space="preserve">a medium to long-term target </w:t>
      </w:r>
      <w:r w:rsidR="005B120A" w:rsidRPr="002D3A72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to ensure all learners with disabilities are reached in all education programmes, recognising that at least 10% of learners in any country will be learners</w:t>
      </w:r>
      <w:r w:rsidR="008822D2" w:rsidRPr="002D3A72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 xml:space="preserve"> with disabilities</w:t>
      </w:r>
      <w:r w:rsidR="005B120A" w:rsidRPr="002D3A72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. </w:t>
      </w:r>
    </w:p>
    <w:p w14:paraId="02CD863B" w14:textId="77777777" w:rsidR="00B679EF" w:rsidRPr="002D3A72" w:rsidRDefault="00B679EF" w:rsidP="002D3A72">
      <w:pPr>
        <w:pStyle w:val="ListParagraph"/>
        <w:ind w:left="270"/>
        <w:textAlignment w:val="baseline"/>
        <w:rPr>
          <w:rFonts w:ascii="AvenirNext LT Pro Regular" w:eastAsia="Times New Roman" w:hAnsi="AvenirNext LT Pro Regular" w:cstheme="minorHAnsi"/>
          <w:b/>
          <w:bCs/>
          <w:color w:val="C00000"/>
          <w:sz w:val="22"/>
          <w:szCs w:val="22"/>
          <w:lang w:eastAsia="en-GB"/>
        </w:rPr>
      </w:pPr>
    </w:p>
    <w:p w14:paraId="0C114752" w14:textId="76110A65" w:rsidR="00720809" w:rsidRPr="002D3A72" w:rsidRDefault="001668ED" w:rsidP="002D3A72">
      <w:pPr>
        <w:pStyle w:val="ListParagraph"/>
        <w:numPr>
          <w:ilvl w:val="0"/>
          <w:numId w:val="10"/>
        </w:numPr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Ensure a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ll education data, from early childhood through to tertiary and vocational education and training, </w:t>
      </w: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is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 fully disaggregated by gender and disability. </w:t>
      </w:r>
    </w:p>
    <w:p w14:paraId="0DE9D48E" w14:textId="2E4281FF" w:rsidR="00720809" w:rsidRPr="002D3A72" w:rsidRDefault="001668ED" w:rsidP="002D3A72">
      <w:pPr>
        <w:numPr>
          <w:ilvl w:val="0"/>
          <w:numId w:val="5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Integrate t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he Washington Group Questions on Disability into all education management information systems. </w:t>
      </w:r>
    </w:p>
    <w:p w14:paraId="5E8C152A" w14:textId="11B697D6" w:rsidR="00720809" w:rsidRPr="002D3A72" w:rsidRDefault="001668ED" w:rsidP="002D3A72">
      <w:pPr>
        <w:numPr>
          <w:ilvl w:val="0"/>
          <w:numId w:val="5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Support e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ducation systems </w:t>
      </w: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to </w:t>
      </w:r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use the </w:t>
      </w:r>
      <w:hyperlink r:id="rId14" w:history="1">
        <w:r w:rsidR="00720809" w:rsidRPr="002D3A72">
          <w:rPr>
            <w:rFonts w:ascii="AvenirNext LT Pro Regular" w:eastAsia="Times New Roman" w:hAnsi="AvenirNext LT Pro Regular" w:cstheme="minorHAnsi"/>
            <w:color w:val="1155CC"/>
            <w:sz w:val="22"/>
            <w:szCs w:val="22"/>
            <w:u w:val="single"/>
            <w:lang w:eastAsia="en-GB"/>
          </w:rPr>
          <w:t>UNICEF/Washington Group Child Functioning Module</w:t>
        </w:r>
      </w:hyperlink>
      <w:r w:rsidR="00720809"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 to track and reach children with disabilities who are in and out of school. </w:t>
      </w:r>
    </w:p>
    <w:p w14:paraId="39CDB53B" w14:textId="0F4AC837" w:rsidR="00B679EF" w:rsidRPr="002D3A72" w:rsidRDefault="00B679EF" w:rsidP="002D3A72">
      <w:p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</w:p>
    <w:p w14:paraId="09CE6C2D" w14:textId="77777777" w:rsidR="00D549AF" w:rsidRPr="002D3A72" w:rsidRDefault="00D549AF" w:rsidP="002D3A72">
      <w:pPr>
        <w:rPr>
          <w:rFonts w:ascii="AvenirNext LT Pro Regular" w:eastAsia="Times New Roman" w:hAnsi="AvenirNext LT Pro Regular" w:cstheme="minorHAnsi"/>
          <w:b/>
          <w:color w:val="000000" w:themeColor="text1"/>
          <w:sz w:val="22"/>
          <w:szCs w:val="22"/>
          <w:lang w:eastAsia="en-GB"/>
        </w:rPr>
      </w:pPr>
    </w:p>
    <w:p w14:paraId="1D22A62F" w14:textId="08310B48" w:rsidR="00720809" w:rsidRPr="002D3A72" w:rsidRDefault="00720809" w:rsidP="002D3A72">
      <w:pPr>
        <w:pStyle w:val="ListParagraph"/>
        <w:numPr>
          <w:ilvl w:val="0"/>
          <w:numId w:val="11"/>
        </w:numPr>
        <w:ind w:left="540"/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b/>
          <w:color w:val="C00000"/>
          <w:sz w:val="22"/>
          <w:szCs w:val="22"/>
          <w:lang w:eastAsia="en-GB"/>
        </w:rPr>
        <w:t>Ensure all education programmes and grants mainstream disability and include disability-inclusion criteria and targets.</w:t>
      </w:r>
    </w:p>
    <w:p w14:paraId="5C8A882B" w14:textId="77777777" w:rsidR="00B679EF" w:rsidRPr="002D3A72" w:rsidRDefault="00B679EF" w:rsidP="002D3A72">
      <w:pPr>
        <w:pStyle w:val="ListParagraph"/>
        <w:ind w:left="540"/>
        <w:rPr>
          <w:rFonts w:ascii="AvenirNext LT Pro Regular" w:eastAsia="Times New Roman" w:hAnsi="AvenirNext LT Pro Regular" w:cstheme="minorHAnsi"/>
          <w:color w:val="C00000"/>
          <w:sz w:val="22"/>
          <w:szCs w:val="22"/>
          <w:lang w:eastAsia="en-GB"/>
        </w:rPr>
      </w:pPr>
    </w:p>
    <w:p w14:paraId="554E22BA" w14:textId="77777777" w:rsidR="00720809" w:rsidRPr="002D3A72" w:rsidRDefault="00720809" w:rsidP="002D3A72">
      <w:pPr>
        <w:numPr>
          <w:ilvl w:val="0"/>
          <w:numId w:val="6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Develop clear criteria and targets on disability-inclusive education for all education programme grants. </w:t>
      </w:r>
    </w:p>
    <w:p w14:paraId="3197289E" w14:textId="77777777" w:rsidR="00720809" w:rsidRPr="002D3A72" w:rsidRDefault="00720809" w:rsidP="002D3A72">
      <w:pPr>
        <w:numPr>
          <w:ilvl w:val="0"/>
          <w:numId w:val="6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Ensure specific allocations and guidance on mainstreaming disability are included in all education funding programmes and grants. </w:t>
      </w:r>
    </w:p>
    <w:p w14:paraId="7E0316E3" w14:textId="74DF64C3" w:rsidR="0024583A" w:rsidRPr="002D3A72" w:rsidRDefault="00720809" w:rsidP="002D3A72">
      <w:pPr>
        <w:numPr>
          <w:ilvl w:val="0"/>
          <w:numId w:val="6"/>
        </w:num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Track all donor investments in education at all levels using the OECD-DAC’s </w:t>
      </w:r>
      <w:r w:rsidRPr="002D3A72">
        <w:rPr>
          <w:rFonts w:ascii="AvenirNext LT Pro Regular" w:eastAsia="Times New Roman" w:hAnsi="AvenirNext LT Pro Regular" w:cstheme="minorHAnsi"/>
          <w:color w:val="1155CC"/>
          <w:sz w:val="22"/>
          <w:szCs w:val="22"/>
          <w:u w:val="single"/>
          <w:lang w:eastAsia="en-GB"/>
        </w:rPr>
        <w:t>policy marker</w:t>
      </w:r>
      <w:r w:rsidRPr="002D3A72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 xml:space="preserve"> on the inclusion and empowerment of persons with disabilities.</w:t>
      </w:r>
    </w:p>
    <w:p w14:paraId="39298686" w14:textId="091A9BEC" w:rsidR="00F42D18" w:rsidRPr="002D3A72" w:rsidRDefault="00F42D18" w:rsidP="00F42D18">
      <w:pPr>
        <w:textAlignment w:val="baseline"/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</w:p>
    <w:p w14:paraId="5CDC6D05" w14:textId="60371A78" w:rsidR="00F42D18" w:rsidRDefault="00F42D18" w:rsidP="00F42D18">
      <w:pPr>
        <w:textAlignment w:val="baseline"/>
        <w:rPr>
          <w:rFonts w:ascii="AvenirNext LT Pro Regular" w:eastAsia="Times New Roman" w:hAnsi="AvenirNext LT Pro Regular" w:cstheme="minorHAnsi"/>
          <w:color w:val="000000"/>
          <w:sz w:val="20"/>
          <w:szCs w:val="20"/>
          <w:lang w:eastAsia="en-GB"/>
        </w:rPr>
      </w:pPr>
    </w:p>
    <w:p w14:paraId="3CFF5140" w14:textId="29DCCE0E" w:rsidR="00B679EF" w:rsidRDefault="00B679EF" w:rsidP="00F42D18">
      <w:pPr>
        <w:textAlignment w:val="baseline"/>
        <w:rPr>
          <w:rFonts w:ascii="AvenirNext LT Pro Regular" w:eastAsia="Times New Roman" w:hAnsi="AvenirNext LT Pro Regular" w:cstheme="minorHAnsi"/>
          <w:color w:val="000000"/>
          <w:sz w:val="20"/>
          <w:szCs w:val="20"/>
          <w:lang w:eastAsia="en-GB"/>
        </w:rPr>
      </w:pPr>
    </w:p>
    <w:p w14:paraId="043BE67D" w14:textId="760A8983" w:rsidR="00314728" w:rsidRPr="00B679EF" w:rsidRDefault="00B679EF" w:rsidP="00B679EF">
      <w:pPr>
        <w:rPr>
          <w:rFonts w:ascii="AvenirNext LT Pro Regular" w:eastAsia="Times New Roman" w:hAnsi="AvenirNext LT Pro Regular" w:cstheme="minorHAnsi"/>
          <w:b/>
          <w:color w:val="C00000"/>
          <w:sz w:val="32"/>
          <w:szCs w:val="32"/>
          <w:lang w:eastAsia="en-GB"/>
        </w:rPr>
      </w:pPr>
      <w:r w:rsidRPr="00B679EF">
        <w:rPr>
          <w:rFonts w:ascii="AvenirNext LT Pro Regular" w:eastAsia="Times New Roman" w:hAnsi="AvenirNext LT Pro Regular" w:cstheme="minorHAnsi"/>
          <w:b/>
          <w:color w:val="C00000"/>
          <w:sz w:val="32"/>
          <w:szCs w:val="32"/>
          <w:lang w:eastAsia="en-GB"/>
        </w:rPr>
        <w:lastRenderedPageBreak/>
        <w:t xml:space="preserve">This is an ambitious call to action. </w:t>
      </w:r>
    </w:p>
    <w:p w14:paraId="060E21AD" w14:textId="77777777" w:rsidR="00B679EF" w:rsidRPr="000F6A78" w:rsidRDefault="00B679EF" w:rsidP="00B679EF">
      <w:pPr>
        <w:rPr>
          <w:rFonts w:ascii="AvenirNext LT Pro Regular" w:eastAsia="Times New Roman" w:hAnsi="AvenirNext LT Pro Regular" w:cstheme="minorHAnsi"/>
          <w:color w:val="000000"/>
          <w:sz w:val="20"/>
          <w:szCs w:val="20"/>
          <w:lang w:eastAsia="en-GB"/>
        </w:rPr>
      </w:pPr>
    </w:p>
    <w:p w14:paraId="672E8C2A" w14:textId="1F1F6997" w:rsidR="00B679EF" w:rsidRDefault="00B679EF" w:rsidP="00B679EF">
      <w:pPr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  <w:r w:rsidRPr="00B57AAC"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  <w:t>We believe it will truly transform education and CAN ensure inclusive and equitable quality education and lifelong learning opportunities for all by 2030. Will you join us in making this call a reality for all children?  </w:t>
      </w:r>
    </w:p>
    <w:p w14:paraId="1322900A" w14:textId="77777777" w:rsidR="00314728" w:rsidRPr="00B57AAC" w:rsidRDefault="00314728" w:rsidP="00B679EF">
      <w:pPr>
        <w:rPr>
          <w:rFonts w:ascii="AvenirNext LT Pro Regular" w:eastAsia="Times New Roman" w:hAnsi="AvenirNext LT Pro Regular" w:cstheme="minorHAnsi"/>
          <w:color w:val="000000"/>
          <w:sz w:val="22"/>
          <w:szCs w:val="22"/>
          <w:lang w:eastAsia="en-GB"/>
        </w:rPr>
      </w:pPr>
    </w:p>
    <w:p w14:paraId="0454803F" w14:textId="7FC40870" w:rsidR="00B679EF" w:rsidRPr="00F42D18" w:rsidRDefault="00B679EF" w:rsidP="00F42D18">
      <w:pPr>
        <w:textAlignment w:val="baseline"/>
        <w:rPr>
          <w:rFonts w:ascii="AvenirNext LT Pro Regular" w:eastAsia="Times New Roman" w:hAnsi="AvenirNext LT Pro Regular" w:cstheme="minorHAnsi"/>
          <w:color w:val="000000"/>
          <w:sz w:val="20"/>
          <w:szCs w:val="20"/>
          <w:lang w:eastAsia="en-GB"/>
        </w:rPr>
      </w:pPr>
    </w:p>
    <w:tbl>
      <w:tblPr>
        <w:tblStyle w:val="TableGrid"/>
        <w:tblW w:w="9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36"/>
        <w:gridCol w:w="6822"/>
      </w:tblGrid>
      <w:tr w:rsidR="00B679EF" w14:paraId="1EDC414E" w14:textId="77777777" w:rsidTr="00B57AAC">
        <w:tc>
          <w:tcPr>
            <w:tcW w:w="2496" w:type="dxa"/>
          </w:tcPr>
          <w:p w14:paraId="73549923" w14:textId="77777777" w:rsidR="00F42D18" w:rsidRDefault="00F42D18" w:rsidP="00F42D18">
            <w:pPr>
              <w:rPr>
                <w:rFonts w:ascii="AvenirNext LT Pro Regular" w:eastAsia="Times New Roman" w:hAnsi="AvenirNext LT Pro Regular" w:cstheme="minorHAnsi"/>
                <w:color w:val="000000"/>
                <w:sz w:val="20"/>
                <w:szCs w:val="20"/>
                <w:lang w:eastAsia="en-GB"/>
              </w:rPr>
            </w:pPr>
          </w:p>
          <w:p w14:paraId="4A7A1D47" w14:textId="292FC2F7" w:rsidR="00F42D18" w:rsidRDefault="00B679EF" w:rsidP="00314728">
            <w:pPr>
              <w:ind w:left="-108"/>
              <w:rPr>
                <w:rFonts w:ascii="AvenirNext LT Pro Regular" w:hAnsi="AvenirNext LT Pro Regular" w:cstheme="minorHAnsi"/>
                <w:sz w:val="22"/>
                <w:szCs w:val="22"/>
              </w:rPr>
            </w:pPr>
            <w:r>
              <w:rPr>
                <w:rFonts w:ascii="AvenirNext LT Pro Regular" w:hAnsi="AvenirNext LT Pro Regular" w:cstheme="minorHAnsi"/>
                <w:noProof/>
                <w:sz w:val="22"/>
                <w:szCs w:val="22"/>
                <w:lang w:val="es-AR" w:eastAsia="es-AR"/>
              </w:rPr>
              <w:drawing>
                <wp:inline distT="0" distB="0" distL="0" distR="0" wp14:anchorId="285741D8" wp14:editId="766A4C8B">
                  <wp:extent cx="1440180" cy="1440180"/>
                  <wp:effectExtent l="0" t="0" r="762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QR-p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49C20728" w14:textId="77777777" w:rsidR="00F42D18" w:rsidRDefault="00F42D18" w:rsidP="00E852F0">
            <w:pPr>
              <w:rPr>
                <w:rFonts w:ascii="AvenirNext LT Pro Regular" w:hAnsi="AvenirNext LT Pro Regular" w:cstheme="minorHAnsi"/>
                <w:sz w:val="22"/>
                <w:szCs w:val="22"/>
              </w:rPr>
            </w:pPr>
          </w:p>
        </w:tc>
        <w:tc>
          <w:tcPr>
            <w:tcW w:w="6822" w:type="dxa"/>
          </w:tcPr>
          <w:p w14:paraId="2DA55A45" w14:textId="5F9FBF9D" w:rsidR="00B679EF" w:rsidRPr="000F6A78" w:rsidRDefault="00B679EF" w:rsidP="00B679EF">
            <w:pPr>
              <w:rPr>
                <w:rFonts w:ascii="AvenirNext LT Pro Regular" w:eastAsia="Times New Roman" w:hAnsi="AvenirNext LT Pro Regular" w:cstheme="minorHAnsi"/>
                <w:color w:val="000000"/>
                <w:sz w:val="20"/>
                <w:szCs w:val="20"/>
                <w:lang w:eastAsia="en-GB"/>
              </w:rPr>
            </w:pPr>
            <w:r w:rsidRPr="000F6A78">
              <w:rPr>
                <w:rFonts w:ascii="AvenirNext LT Pro Regular" w:eastAsia="Times New Roman" w:hAnsi="AvenirNext LT Pro Regular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3B84C323" w14:textId="77777777" w:rsidR="00B679EF" w:rsidRPr="00B57AAC" w:rsidRDefault="00B679EF" w:rsidP="00B679EF">
            <w:pPr>
              <w:rPr>
                <w:rFonts w:ascii="AvenirNext LT Pro Regular" w:eastAsia="Times New Roman" w:hAnsi="AvenirNext LT Pro Regular" w:cstheme="minorHAnsi"/>
                <w:sz w:val="22"/>
                <w:szCs w:val="20"/>
                <w:lang w:eastAsia="en-GB"/>
              </w:rPr>
            </w:pPr>
            <w:r w:rsidRPr="00B57AAC">
              <w:rPr>
                <w:rFonts w:ascii="AvenirNext LT Pro Regular" w:eastAsia="Times New Roman" w:hAnsi="AvenirNext LT Pro Regular" w:cstheme="minorHAnsi"/>
                <w:sz w:val="22"/>
                <w:szCs w:val="20"/>
                <w:lang w:eastAsia="en-GB"/>
              </w:rPr>
              <w:t xml:space="preserve">Sign on to the call to action: </w:t>
            </w:r>
          </w:p>
          <w:p w14:paraId="6F3EE6C9" w14:textId="77777777" w:rsidR="00B679EF" w:rsidRPr="00B57AAC" w:rsidRDefault="0079019C" w:rsidP="00B679EF">
            <w:pPr>
              <w:rPr>
                <w:rFonts w:ascii="AvenirNext LT Pro Regular" w:hAnsi="AvenirNext LT Pro Regular" w:cstheme="minorHAnsi"/>
                <w:sz w:val="22"/>
                <w:szCs w:val="20"/>
              </w:rPr>
            </w:pPr>
            <w:hyperlink r:id="rId16" w:tgtFrame="_blank" w:history="1">
              <w:r w:rsidR="00B679EF" w:rsidRPr="00B57AAC">
                <w:rPr>
                  <w:rStyle w:val="Hyperlink"/>
                  <w:rFonts w:ascii="AvenirNext LT Pro Regular" w:hAnsi="AvenirNext LT Pro Regular" w:cstheme="minorHAnsi"/>
                  <w:color w:val="1155CC"/>
                  <w:sz w:val="22"/>
                  <w:szCs w:val="20"/>
                  <w:shd w:val="clear" w:color="auto" w:fill="FFFFFF"/>
                </w:rPr>
                <w:t>https://bit.ly/TES-CTA</w:t>
              </w:r>
            </w:hyperlink>
          </w:p>
          <w:p w14:paraId="3399659F" w14:textId="5624DD4E" w:rsidR="00F42D18" w:rsidRDefault="00F42D18" w:rsidP="00E852F0">
            <w:pPr>
              <w:rPr>
                <w:rFonts w:ascii="AvenirNext LT Pro Regular" w:hAnsi="AvenirNext LT Pro Regular" w:cstheme="minorHAnsi"/>
                <w:sz w:val="22"/>
                <w:szCs w:val="22"/>
              </w:rPr>
            </w:pPr>
          </w:p>
        </w:tc>
      </w:tr>
    </w:tbl>
    <w:p w14:paraId="1362AEEE" w14:textId="67F14FFB" w:rsidR="008C2078" w:rsidRDefault="008C2078" w:rsidP="00E852F0">
      <w:pPr>
        <w:rPr>
          <w:rFonts w:ascii="AvenirNext LT Pro Regular" w:hAnsi="AvenirNext LT Pro Regular" w:cstheme="minorHAnsi"/>
          <w:sz w:val="22"/>
          <w:szCs w:val="22"/>
        </w:rPr>
      </w:pPr>
    </w:p>
    <w:p w14:paraId="2F962F1E" w14:textId="2F9A710F" w:rsidR="00B679EF" w:rsidRDefault="00B679EF" w:rsidP="00B679EF">
      <w:pPr>
        <w:pBdr>
          <w:bar w:val="single" w:sz="4" w:color="auto"/>
        </w:pBdr>
        <w:rPr>
          <w:rFonts w:ascii="AvenirNext LT Pro Regular" w:hAnsi="AvenirNext LT Pro Regular" w:cstheme="minorHAnsi"/>
          <w:sz w:val="22"/>
          <w:szCs w:val="22"/>
        </w:rPr>
      </w:pPr>
    </w:p>
    <w:p w14:paraId="52F01A26" w14:textId="77777777" w:rsidR="00B679EF" w:rsidRPr="000F6A78" w:rsidRDefault="00B679EF" w:rsidP="00E852F0">
      <w:pPr>
        <w:rPr>
          <w:rFonts w:ascii="AvenirNext LT Pro Regular" w:hAnsi="AvenirNext LT Pro Regular" w:cstheme="minorHAnsi"/>
          <w:sz w:val="22"/>
          <w:szCs w:val="22"/>
        </w:rPr>
      </w:pPr>
    </w:p>
    <w:sectPr w:rsidR="00B679EF" w:rsidRPr="000F6A78" w:rsidSect="00F42D18">
      <w:headerReference w:type="default" r:id="rId17"/>
      <w:footerReference w:type="default" r:id="rId18"/>
      <w:pgSz w:w="11900" w:h="16840"/>
      <w:pgMar w:top="851" w:right="1127" w:bottom="990" w:left="1276" w:header="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69F07CD" w16cex:dateUtc="2022-09-09T14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1362" w14:textId="77777777" w:rsidR="0079019C" w:rsidRDefault="0079019C" w:rsidP="00FF7EDF">
      <w:r>
        <w:separator/>
      </w:r>
    </w:p>
  </w:endnote>
  <w:endnote w:type="continuationSeparator" w:id="0">
    <w:p w14:paraId="109123F0" w14:textId="77777777" w:rsidR="0079019C" w:rsidRDefault="0079019C" w:rsidP="00FF7EDF">
      <w:r>
        <w:continuationSeparator/>
      </w:r>
    </w:p>
  </w:endnote>
  <w:endnote w:type="continuationNotice" w:id="1">
    <w:p w14:paraId="7DE3A582" w14:textId="77777777" w:rsidR="0079019C" w:rsidRDefault="00790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A252" w14:textId="487222C9" w:rsidR="00580A3C" w:rsidRDefault="00580A3C">
    <w:pPr>
      <w:pStyle w:val="Footer"/>
    </w:pPr>
  </w:p>
  <w:p w14:paraId="5CAF1234" w14:textId="5ED7FD1F" w:rsidR="00580A3C" w:rsidRDefault="00580A3C" w:rsidP="00580A3C">
    <w:pPr>
      <w:pStyle w:val="Footer"/>
      <w:ind w:left="-1276"/>
    </w:pPr>
    <w:r>
      <w:rPr>
        <w:noProof/>
        <w:lang w:val="es-AR" w:eastAsia="es-AR"/>
      </w:rPr>
      <w:drawing>
        <wp:inline distT="0" distB="0" distL="0" distR="0" wp14:anchorId="1F167810" wp14:editId="0555FC90">
          <wp:extent cx="7574280" cy="800100"/>
          <wp:effectExtent l="0" t="0" r="762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6FE5" w14:textId="77777777" w:rsidR="0079019C" w:rsidRDefault="0079019C" w:rsidP="00FF7EDF">
      <w:r>
        <w:separator/>
      </w:r>
    </w:p>
  </w:footnote>
  <w:footnote w:type="continuationSeparator" w:id="0">
    <w:p w14:paraId="6FEE813D" w14:textId="77777777" w:rsidR="0079019C" w:rsidRDefault="0079019C" w:rsidP="00FF7EDF">
      <w:r>
        <w:continuationSeparator/>
      </w:r>
    </w:p>
  </w:footnote>
  <w:footnote w:type="continuationNotice" w:id="1">
    <w:p w14:paraId="707FCFCE" w14:textId="77777777" w:rsidR="0079019C" w:rsidRDefault="0079019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1A41" w14:textId="2D133773" w:rsidR="00F42D18" w:rsidRDefault="00F42D18" w:rsidP="00F42D18">
    <w:pPr>
      <w:pStyle w:val="Header"/>
      <w:tabs>
        <w:tab w:val="clear" w:pos="9026"/>
      </w:tabs>
      <w:ind w:hanging="1418"/>
    </w:pPr>
    <w:r>
      <w:rPr>
        <w:noProof/>
        <w:lang w:val="es-AR" w:eastAsia="es-AR"/>
      </w:rPr>
      <w:drawing>
        <wp:inline distT="0" distB="0" distL="0" distR="0" wp14:anchorId="5542F87D" wp14:editId="2B6A80C6">
          <wp:extent cx="7642860" cy="403860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86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5AAAA8" w14:textId="77777777" w:rsidR="00FF7EDF" w:rsidRDefault="00FF7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8pt;height:37.8pt" o:bullet="t">
        <v:imagedata r:id="rId1" o:title="bullet"/>
      </v:shape>
    </w:pict>
  </w:numPicBullet>
  <w:abstractNum w:abstractNumId="0" w15:restartNumberingAfterBreak="0">
    <w:nsid w:val="294F052D"/>
    <w:multiLevelType w:val="hybridMultilevel"/>
    <w:tmpl w:val="93C4639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978AF"/>
    <w:multiLevelType w:val="multilevel"/>
    <w:tmpl w:val="4040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44528"/>
    <w:multiLevelType w:val="hybridMultilevel"/>
    <w:tmpl w:val="C204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5EE"/>
    <w:multiLevelType w:val="hybridMultilevel"/>
    <w:tmpl w:val="573E3C4E"/>
    <w:lvl w:ilvl="0" w:tplc="08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31CE"/>
    <w:multiLevelType w:val="multilevel"/>
    <w:tmpl w:val="D1ECC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9473A"/>
    <w:multiLevelType w:val="hybridMultilevel"/>
    <w:tmpl w:val="AA9E17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F53EA"/>
    <w:multiLevelType w:val="multilevel"/>
    <w:tmpl w:val="18B4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A66F7"/>
    <w:multiLevelType w:val="multilevel"/>
    <w:tmpl w:val="AA9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D3ECC"/>
    <w:multiLevelType w:val="multilevel"/>
    <w:tmpl w:val="907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B0577"/>
    <w:multiLevelType w:val="multilevel"/>
    <w:tmpl w:val="BB1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2698E"/>
    <w:multiLevelType w:val="hybridMultilevel"/>
    <w:tmpl w:val="7D36E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9"/>
    <w:rsid w:val="00086D1A"/>
    <w:rsid w:val="000A5B18"/>
    <w:rsid w:val="000F6A78"/>
    <w:rsid w:val="001668ED"/>
    <w:rsid w:val="001841B0"/>
    <w:rsid w:val="00190B3B"/>
    <w:rsid w:val="00194725"/>
    <w:rsid w:val="00195025"/>
    <w:rsid w:val="001B3B6B"/>
    <w:rsid w:val="001F3751"/>
    <w:rsid w:val="00226A5D"/>
    <w:rsid w:val="0024583A"/>
    <w:rsid w:val="00247650"/>
    <w:rsid w:val="002666E1"/>
    <w:rsid w:val="00272E95"/>
    <w:rsid w:val="002D3A72"/>
    <w:rsid w:val="003137EC"/>
    <w:rsid w:val="00314728"/>
    <w:rsid w:val="0032601A"/>
    <w:rsid w:val="003277F0"/>
    <w:rsid w:val="003E6C3E"/>
    <w:rsid w:val="004C4795"/>
    <w:rsid w:val="0055177E"/>
    <w:rsid w:val="00580A3C"/>
    <w:rsid w:val="005B120A"/>
    <w:rsid w:val="005F6117"/>
    <w:rsid w:val="006437F9"/>
    <w:rsid w:val="006B1C37"/>
    <w:rsid w:val="006C75C1"/>
    <w:rsid w:val="006D2392"/>
    <w:rsid w:val="00720809"/>
    <w:rsid w:val="00723901"/>
    <w:rsid w:val="0078179A"/>
    <w:rsid w:val="0079019C"/>
    <w:rsid w:val="007F3286"/>
    <w:rsid w:val="00850D25"/>
    <w:rsid w:val="00863965"/>
    <w:rsid w:val="008822D2"/>
    <w:rsid w:val="008932C3"/>
    <w:rsid w:val="008C2078"/>
    <w:rsid w:val="009B279C"/>
    <w:rsid w:val="009D2B02"/>
    <w:rsid w:val="00A10D9D"/>
    <w:rsid w:val="00AB0AC0"/>
    <w:rsid w:val="00B06480"/>
    <w:rsid w:val="00B4614C"/>
    <w:rsid w:val="00B57AAC"/>
    <w:rsid w:val="00B679EF"/>
    <w:rsid w:val="00B7774B"/>
    <w:rsid w:val="00BC69AD"/>
    <w:rsid w:val="00C378F3"/>
    <w:rsid w:val="00CB5DF6"/>
    <w:rsid w:val="00CF46EB"/>
    <w:rsid w:val="00D01CB4"/>
    <w:rsid w:val="00D549AF"/>
    <w:rsid w:val="00E852F0"/>
    <w:rsid w:val="00F30ACF"/>
    <w:rsid w:val="00F41BC3"/>
    <w:rsid w:val="00F42D18"/>
    <w:rsid w:val="00F44678"/>
    <w:rsid w:val="00F60456"/>
    <w:rsid w:val="00FF7EDF"/>
    <w:rsid w:val="0C035103"/>
    <w:rsid w:val="0EF98E9E"/>
    <w:rsid w:val="16083744"/>
    <w:rsid w:val="4E1E4AF8"/>
    <w:rsid w:val="4F5E2A42"/>
    <w:rsid w:val="500CE2EC"/>
    <w:rsid w:val="6342C895"/>
    <w:rsid w:val="6804B186"/>
    <w:rsid w:val="68B5EB9E"/>
    <w:rsid w:val="779EB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E23FA"/>
  <w14:defaultImageDpi w14:val="32767"/>
  <w15:chartTrackingRefBased/>
  <w15:docId w15:val="{87D0B47D-14ED-4DD8-B3BF-A4C5603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078"/>
    <w:pPr>
      <w:keepNext/>
      <w:keepLines/>
      <w:spacing w:before="48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078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BC3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1BC3"/>
    <w:pPr>
      <w:keepNext/>
      <w:keepLines/>
      <w:spacing w:before="200"/>
      <w:outlineLvl w:val="3"/>
    </w:pPr>
    <w:rPr>
      <w:rFonts w:eastAsia="Times New Roman"/>
      <w:b/>
      <w:bCs/>
      <w:i/>
      <w:i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DF"/>
  </w:style>
  <w:style w:type="paragraph" w:styleId="Footer">
    <w:name w:val="footer"/>
    <w:basedOn w:val="Normal"/>
    <w:link w:val="FooterChar"/>
    <w:uiPriority w:val="99"/>
    <w:unhideWhenUsed/>
    <w:rsid w:val="00FF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DF"/>
  </w:style>
  <w:style w:type="character" w:customStyle="1" w:styleId="Heading1Char">
    <w:name w:val="Heading 1 Char"/>
    <w:link w:val="Heading1"/>
    <w:uiPriority w:val="9"/>
    <w:rsid w:val="008C2078"/>
    <w:rPr>
      <w:rFonts w:ascii="Arial" w:eastAsia="Times New Roman" w:hAnsi="Arial" w:cs="Times New Roman"/>
      <w:b/>
      <w:bCs/>
      <w:color w:val="000000"/>
      <w:sz w:val="32"/>
      <w:szCs w:val="28"/>
    </w:rPr>
  </w:style>
  <w:style w:type="paragraph" w:styleId="NoSpacing">
    <w:name w:val="No Spacing"/>
    <w:uiPriority w:val="1"/>
    <w:rsid w:val="004C4795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8C2078"/>
    <w:rPr>
      <w:rFonts w:ascii="Arial" w:eastAsia="Times New Roman" w:hAnsi="Arial" w:cs="Times New Roman"/>
      <w:b/>
      <w:bCs/>
      <w:sz w:val="28"/>
      <w:szCs w:val="26"/>
    </w:rPr>
  </w:style>
  <w:style w:type="paragraph" w:styleId="Title">
    <w:name w:val="Title"/>
    <w:next w:val="Normal"/>
    <w:link w:val="TitleChar"/>
    <w:autoRedefine/>
    <w:uiPriority w:val="10"/>
    <w:rsid w:val="008C2078"/>
    <w:pPr>
      <w:pBdr>
        <w:bottom w:val="single" w:sz="8" w:space="4" w:color="4472C4"/>
      </w:pBdr>
      <w:spacing w:after="300"/>
      <w:contextualSpacing/>
    </w:pPr>
    <w:rPr>
      <w:rFonts w:eastAsia="Times New Roman"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link w:val="Title"/>
    <w:uiPriority w:val="10"/>
    <w:rsid w:val="008C2078"/>
    <w:rPr>
      <w:rFonts w:ascii="Arial" w:eastAsia="Times New Roman" w:hAnsi="Arial" w:cs="Times New Roman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C4795"/>
    <w:pPr>
      <w:numPr>
        <w:ilvl w:val="1"/>
      </w:numPr>
    </w:pPr>
    <w:rPr>
      <w:rFonts w:eastAsia="Times New Roman"/>
      <w:i/>
      <w:iCs/>
      <w:color w:val="4472C4"/>
      <w:spacing w:val="15"/>
    </w:rPr>
  </w:style>
  <w:style w:type="character" w:customStyle="1" w:styleId="SubtitleChar">
    <w:name w:val="Subtitle Char"/>
    <w:link w:val="Subtitle"/>
    <w:uiPriority w:val="11"/>
    <w:rsid w:val="004C4795"/>
    <w:rPr>
      <w:rFonts w:ascii="Arial" w:eastAsia="Times New Roman" w:hAnsi="Arial" w:cs="Times New Roman"/>
      <w:i/>
      <w:iCs/>
      <w:color w:val="4472C4"/>
      <w:spacing w:val="15"/>
    </w:rPr>
  </w:style>
  <w:style w:type="paragraph" w:styleId="Quote">
    <w:name w:val="Quote"/>
    <w:basedOn w:val="Normal"/>
    <w:next w:val="Normal"/>
    <w:link w:val="QuoteChar"/>
    <w:uiPriority w:val="29"/>
    <w:rsid w:val="004C479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C479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4C4795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4C4795"/>
    <w:rPr>
      <w:b/>
      <w:bCs/>
      <w:i/>
      <w:iCs/>
      <w:color w:val="4472C4"/>
    </w:rPr>
  </w:style>
  <w:style w:type="character" w:styleId="Strong">
    <w:name w:val="Strong"/>
    <w:uiPriority w:val="22"/>
    <w:qFormat/>
    <w:rsid w:val="004C4795"/>
    <w:rPr>
      <w:b/>
      <w:bCs/>
    </w:rPr>
  </w:style>
  <w:style w:type="character" w:styleId="Emphasis">
    <w:name w:val="Emphasis"/>
    <w:uiPriority w:val="20"/>
    <w:rsid w:val="004C4795"/>
    <w:rPr>
      <w:i/>
      <w:iCs/>
    </w:rPr>
  </w:style>
  <w:style w:type="character" w:customStyle="1" w:styleId="Heading3Char">
    <w:name w:val="Heading 3 Char"/>
    <w:link w:val="Heading3"/>
    <w:uiPriority w:val="9"/>
    <w:rsid w:val="00F41BC3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rsid w:val="00F41BC3"/>
    <w:rPr>
      <w:rFonts w:ascii="Arial" w:eastAsia="Times New Roman" w:hAnsi="Arial" w:cs="Times New Roman"/>
      <w:b/>
      <w:bCs/>
      <w:i/>
      <w:iCs/>
      <w:color w:val="4472C4"/>
    </w:rPr>
  </w:style>
  <w:style w:type="paragraph" w:styleId="Revision">
    <w:name w:val="Revision"/>
    <w:hidden/>
    <w:uiPriority w:val="99"/>
    <w:semiHidden/>
    <w:rsid w:val="00CB5DF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B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B02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950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0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06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3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4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aignforeducation.org/images/downloads/f1/1800/genderresponsiveanddisabilityinclusiveeducationbudgetingfinal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www.un.org/development/desa/disabilities/convention-on-the-rights-of-persons-with-disabilities/convention-on-the-rights-of-persons-with-disabilities-2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TES-C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.unicef.org/resources/children-with-disabilities-report-2021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ata.unicef.org/resources/module-child-function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5196BFF60EA40B059C4147F80D1E8" ma:contentTypeVersion="13" ma:contentTypeDescription="Create a new document." ma:contentTypeScope="" ma:versionID="80a711dc293f95335fd0b4ab00101723">
  <xsd:schema xmlns:xsd="http://www.w3.org/2001/XMLSchema" xmlns:xs="http://www.w3.org/2001/XMLSchema" xmlns:p="http://schemas.microsoft.com/office/2006/metadata/properties" xmlns:ns3="a241a95a-9084-4e1c-8d34-d0ce25837039" xmlns:ns4="b8d78649-3a65-41d7-9a59-ccac24f293a9" targetNamespace="http://schemas.microsoft.com/office/2006/metadata/properties" ma:root="true" ma:fieldsID="c31fe61c90a10ce07082418fbaae2157" ns3:_="" ns4:_="">
    <xsd:import namespace="a241a95a-9084-4e1c-8d34-d0ce25837039"/>
    <xsd:import namespace="b8d78649-3a65-41d7-9a59-ccac24f29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a95a-9084-4e1c-8d34-d0ce25837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78649-3a65-41d7-9a59-ccac24f29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2F82D-3C6F-4638-931A-4D465E6D6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8765B-0FF7-4508-AC7E-99399514B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1a95a-9084-4e1c-8d34-d0ce25837039"/>
    <ds:schemaRef ds:uri="b8d78649-3a65-41d7-9a59-ccac24f29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FF71E-DF01-4BF7-8EB0-BE3542A9E8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Green</dc:creator>
  <cp:keywords/>
  <dc:description/>
  <cp:lastModifiedBy>Daniela Gissara</cp:lastModifiedBy>
  <cp:revision>5</cp:revision>
  <cp:lastPrinted>2022-09-11T12:43:00Z</cp:lastPrinted>
  <dcterms:created xsi:type="dcterms:W3CDTF">2022-09-11T12:19:00Z</dcterms:created>
  <dcterms:modified xsi:type="dcterms:W3CDTF">2022-09-11T13:46:00Z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0x0101001DA5196BFF60EA40B059C4147F80D1E8</vt:lpwstr>
  </property>
</Properties>
</file>