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C31" w:rsidRDefault="00CB1C31" w:rsidP="003665E6">
      <w:pPr>
        <w:pStyle w:val="BodyA"/>
        <w:rPr>
          <w:rFonts w:cs="Arial"/>
          <w:b/>
          <w:color w:val="002060"/>
          <w:sz w:val="52"/>
          <w:szCs w:val="28"/>
          <w:lang w:val="en-GB"/>
        </w:rPr>
      </w:pPr>
    </w:p>
    <w:p w:rsidR="00CB1C31" w:rsidRDefault="00CB1C31" w:rsidP="003665E6">
      <w:pPr>
        <w:pStyle w:val="BodyA"/>
        <w:rPr>
          <w:rFonts w:cs="Arial"/>
          <w:b/>
          <w:color w:val="002060"/>
          <w:sz w:val="52"/>
          <w:szCs w:val="28"/>
          <w:lang w:val="en-GB"/>
        </w:rPr>
      </w:pPr>
    </w:p>
    <w:p w:rsidR="00CB1C31" w:rsidRDefault="00CB1C31" w:rsidP="003665E6">
      <w:pPr>
        <w:pStyle w:val="BodyA"/>
        <w:rPr>
          <w:rFonts w:cs="Arial"/>
          <w:b/>
          <w:color w:val="002060"/>
          <w:sz w:val="52"/>
          <w:szCs w:val="28"/>
          <w:lang w:val="en-GB"/>
        </w:rPr>
      </w:pPr>
    </w:p>
    <w:p w:rsidR="00B617CB" w:rsidRPr="00CB1C31" w:rsidRDefault="00B617CB" w:rsidP="003665E6">
      <w:pPr>
        <w:pStyle w:val="BodyA"/>
        <w:rPr>
          <w:rFonts w:cs="Arial"/>
          <w:b/>
          <w:color w:val="002060"/>
          <w:sz w:val="52"/>
          <w:szCs w:val="28"/>
          <w:lang w:val="en-GB"/>
        </w:rPr>
      </w:pPr>
      <w:r w:rsidRPr="00CB1C31">
        <w:rPr>
          <w:rFonts w:cs="Arial"/>
          <w:b/>
          <w:color w:val="002060"/>
          <w:sz w:val="52"/>
          <w:szCs w:val="28"/>
          <w:lang w:val="en-GB"/>
        </w:rPr>
        <w:t>The implications of ensuring equal access and inclusion of persons with intellectual disabilities and mental health issues in disaster risk reduction and humanitarian action</w:t>
      </w:r>
    </w:p>
    <w:p w:rsidR="00CB1C31" w:rsidRDefault="00CB1C31" w:rsidP="003665E6">
      <w:pPr>
        <w:pStyle w:val="BodyA"/>
        <w:rPr>
          <w:b/>
          <w:bCs/>
          <w:sz w:val="40"/>
          <w:szCs w:val="40"/>
          <w:lang w:val="en-GB"/>
        </w:rPr>
      </w:pPr>
    </w:p>
    <w:p w:rsidR="00CB1C31" w:rsidRDefault="00CB1C31" w:rsidP="003665E6">
      <w:pPr>
        <w:pStyle w:val="BodyA"/>
        <w:rPr>
          <w:b/>
          <w:bCs/>
          <w:color w:val="002060"/>
          <w:sz w:val="32"/>
          <w:szCs w:val="40"/>
          <w:lang w:val="en-GB"/>
        </w:rPr>
      </w:pPr>
      <w:r w:rsidRPr="00CB1C31">
        <w:rPr>
          <w:b/>
          <w:bCs/>
          <w:color w:val="002060"/>
          <w:sz w:val="32"/>
          <w:szCs w:val="40"/>
          <w:lang w:val="en-GB"/>
        </w:rPr>
        <w:t>A rapid literature review conducted for NAD</w:t>
      </w:r>
      <w:r>
        <w:rPr>
          <w:b/>
          <w:bCs/>
          <w:color w:val="002060"/>
          <w:sz w:val="32"/>
          <w:szCs w:val="40"/>
          <w:lang w:val="en-GB"/>
        </w:rPr>
        <w:t xml:space="preserve"> by EENET</w:t>
      </w:r>
    </w:p>
    <w:p w:rsidR="00CB1C31" w:rsidRDefault="00CB1C31" w:rsidP="003665E6">
      <w:pPr>
        <w:pStyle w:val="BodyA"/>
        <w:rPr>
          <w:b/>
          <w:bCs/>
          <w:color w:val="002060"/>
          <w:sz w:val="32"/>
          <w:szCs w:val="40"/>
          <w:lang w:val="en-GB"/>
        </w:rPr>
      </w:pPr>
    </w:p>
    <w:p w:rsidR="00CB1C31" w:rsidRPr="00CB1C31" w:rsidRDefault="00CB1C31" w:rsidP="003665E6">
      <w:pPr>
        <w:pStyle w:val="BodyA"/>
        <w:rPr>
          <w:b/>
          <w:bCs/>
          <w:color w:val="002060"/>
          <w:sz w:val="32"/>
          <w:szCs w:val="40"/>
          <w:lang w:val="en-GB"/>
        </w:rPr>
      </w:pPr>
      <w:r>
        <w:rPr>
          <w:b/>
          <w:bCs/>
          <w:color w:val="002060"/>
          <w:sz w:val="32"/>
          <w:szCs w:val="40"/>
          <w:lang w:val="en-GB"/>
        </w:rPr>
        <w:t>December 2017</w:t>
      </w:r>
    </w:p>
    <w:p w:rsidR="00B617CB" w:rsidRPr="00377277" w:rsidRDefault="00B617CB" w:rsidP="00CB1C31"/>
    <w:p w:rsidR="00B617CB" w:rsidRPr="00377277" w:rsidRDefault="00B617CB" w:rsidP="003665E6">
      <w:pPr>
        <w:pStyle w:val="NormalWeb"/>
        <w:shd w:val="clear" w:color="auto" w:fill="FFFFFF"/>
        <w:spacing w:before="0" w:beforeAutospacing="0" w:after="0" w:afterAutospacing="0" w:line="240" w:lineRule="atLeast"/>
        <w:jc w:val="both"/>
        <w:textAlignment w:val="baseline"/>
        <w:rPr>
          <w:rFonts w:ascii="Arial" w:hAnsi="Arial" w:cs="Arial"/>
          <w:color w:val="000000"/>
          <w:sz w:val="28"/>
          <w:szCs w:val="28"/>
        </w:rPr>
      </w:pPr>
    </w:p>
    <w:p w:rsidR="00B617CB" w:rsidRPr="00377277" w:rsidRDefault="00B617CB" w:rsidP="003665E6">
      <w:pPr>
        <w:pStyle w:val="NormalWeb"/>
        <w:shd w:val="clear" w:color="auto" w:fill="FFFFFF"/>
        <w:spacing w:before="0" w:beforeAutospacing="0" w:after="0" w:afterAutospacing="0" w:line="240" w:lineRule="atLeast"/>
        <w:jc w:val="both"/>
        <w:textAlignment w:val="baseline"/>
        <w:rPr>
          <w:rFonts w:ascii="Arial" w:hAnsi="Arial" w:cs="Arial"/>
          <w:color w:val="000000"/>
          <w:sz w:val="28"/>
          <w:szCs w:val="28"/>
        </w:rPr>
      </w:pPr>
    </w:p>
    <w:p w:rsidR="00CB1C31" w:rsidRDefault="00CB1C31">
      <w:pPr>
        <w:spacing w:after="200" w:line="276" w:lineRule="auto"/>
        <w:rPr>
          <w:rFonts w:eastAsiaTheme="majorEastAsia" w:cstheme="majorBidi"/>
          <w:b/>
          <w:bCs/>
          <w:color w:val="002060"/>
          <w:sz w:val="32"/>
          <w:szCs w:val="28"/>
        </w:rPr>
      </w:pPr>
      <w:bookmarkStart w:id="0" w:name="_Toc500810254"/>
      <w:r>
        <w:br w:type="page"/>
      </w:r>
    </w:p>
    <w:p w:rsidR="00B617CB" w:rsidRPr="00377277" w:rsidRDefault="00B617CB" w:rsidP="003665E6">
      <w:pPr>
        <w:pStyle w:val="Heading1"/>
      </w:pPr>
      <w:r w:rsidRPr="00377277">
        <w:lastRenderedPageBreak/>
        <w:t>Contents</w:t>
      </w:r>
      <w:bookmarkEnd w:id="0"/>
    </w:p>
    <w:p w:rsidR="00B617CB" w:rsidRPr="00377277" w:rsidRDefault="00B617CB" w:rsidP="003665E6">
      <w:pPr>
        <w:pStyle w:val="NormalWeb"/>
        <w:shd w:val="clear" w:color="auto" w:fill="FFFFFF"/>
        <w:spacing w:before="0" w:beforeAutospacing="0" w:after="0" w:afterAutospacing="0" w:line="240" w:lineRule="atLeast"/>
        <w:jc w:val="both"/>
        <w:textAlignment w:val="baseline"/>
        <w:rPr>
          <w:rFonts w:ascii="Arial" w:hAnsi="Arial" w:cs="Arial"/>
          <w:b/>
          <w:color w:val="000000"/>
        </w:rPr>
      </w:pPr>
    </w:p>
    <w:p w:rsidR="00B617CB" w:rsidRPr="00377277" w:rsidRDefault="00B617CB">
      <w:pPr>
        <w:pStyle w:val="TOC1"/>
        <w:tabs>
          <w:tab w:val="right" w:leader="dot" w:pos="9016"/>
        </w:tabs>
        <w:rPr>
          <w:rFonts w:asciiTheme="minorHAnsi" w:eastAsiaTheme="minorEastAsia" w:hAnsiTheme="minorHAnsi"/>
          <w:noProof/>
          <w:color w:val="auto"/>
          <w:sz w:val="22"/>
          <w:lang w:eastAsia="en-NZ"/>
        </w:rPr>
      </w:pPr>
      <w:r w:rsidRPr="00377277">
        <w:rPr>
          <w:rFonts w:cs="Arial"/>
          <w:b/>
          <w:color w:val="000000"/>
        </w:rPr>
        <w:fldChar w:fldCharType="begin"/>
      </w:r>
      <w:r w:rsidRPr="00377277">
        <w:rPr>
          <w:rFonts w:cs="Arial"/>
          <w:b/>
          <w:color w:val="000000"/>
        </w:rPr>
        <w:instrText xml:space="preserve"> TOC \o "1-2" \h \z \u </w:instrText>
      </w:r>
      <w:r w:rsidRPr="00377277">
        <w:rPr>
          <w:rFonts w:cs="Arial"/>
          <w:b/>
          <w:color w:val="000000"/>
        </w:rPr>
        <w:fldChar w:fldCharType="separate"/>
      </w:r>
      <w:hyperlink w:anchor="_Toc500810255" w:history="1">
        <w:r w:rsidRPr="00377277">
          <w:rPr>
            <w:rStyle w:val="Hyperlink"/>
            <w:noProof/>
          </w:rPr>
          <w:t>1. Introduction</w:t>
        </w:r>
        <w:r w:rsidRPr="00377277">
          <w:rPr>
            <w:noProof/>
            <w:webHidden/>
          </w:rPr>
          <w:tab/>
        </w:r>
        <w:r w:rsidRPr="00377277">
          <w:rPr>
            <w:noProof/>
            <w:webHidden/>
          </w:rPr>
          <w:fldChar w:fldCharType="begin"/>
        </w:r>
        <w:r w:rsidRPr="00377277">
          <w:rPr>
            <w:noProof/>
            <w:webHidden/>
          </w:rPr>
          <w:instrText xml:space="preserve"> PAGEREF _Toc500810255 \h </w:instrText>
        </w:r>
        <w:r w:rsidRPr="00377277">
          <w:rPr>
            <w:noProof/>
            <w:webHidden/>
          </w:rPr>
        </w:r>
        <w:r w:rsidRPr="00377277">
          <w:rPr>
            <w:noProof/>
            <w:webHidden/>
          </w:rPr>
          <w:fldChar w:fldCharType="separate"/>
        </w:r>
        <w:r w:rsidRPr="00377277">
          <w:rPr>
            <w:noProof/>
            <w:webHidden/>
          </w:rPr>
          <w:t>2</w:t>
        </w:r>
        <w:r w:rsidRPr="00377277">
          <w:rPr>
            <w:noProof/>
            <w:webHidden/>
          </w:rPr>
          <w:fldChar w:fldCharType="end"/>
        </w:r>
      </w:hyperlink>
    </w:p>
    <w:p w:rsidR="00B617CB" w:rsidRPr="00377277" w:rsidRDefault="00377277">
      <w:pPr>
        <w:pStyle w:val="TOC2"/>
        <w:tabs>
          <w:tab w:val="right" w:leader="dot" w:pos="9016"/>
        </w:tabs>
        <w:rPr>
          <w:rFonts w:asciiTheme="minorHAnsi" w:eastAsiaTheme="minorEastAsia" w:hAnsiTheme="minorHAnsi"/>
          <w:noProof/>
          <w:color w:val="auto"/>
          <w:sz w:val="22"/>
          <w:lang w:eastAsia="en-NZ"/>
        </w:rPr>
      </w:pPr>
      <w:hyperlink w:anchor="_Toc500810256" w:history="1">
        <w:r w:rsidR="00B617CB" w:rsidRPr="00377277">
          <w:rPr>
            <w:rStyle w:val="Hyperlink"/>
            <w:noProof/>
          </w:rPr>
          <w:t>1.1 Key concepts</w:t>
        </w:r>
        <w:r w:rsidR="00B617CB" w:rsidRPr="00377277">
          <w:rPr>
            <w:noProof/>
            <w:webHidden/>
          </w:rPr>
          <w:tab/>
        </w:r>
        <w:r w:rsidR="00B617CB" w:rsidRPr="00377277">
          <w:rPr>
            <w:noProof/>
            <w:webHidden/>
          </w:rPr>
          <w:fldChar w:fldCharType="begin"/>
        </w:r>
        <w:r w:rsidR="00B617CB" w:rsidRPr="00377277">
          <w:rPr>
            <w:noProof/>
            <w:webHidden/>
          </w:rPr>
          <w:instrText xml:space="preserve"> PAGEREF _Toc500810256 \h </w:instrText>
        </w:r>
        <w:r w:rsidR="00B617CB" w:rsidRPr="00377277">
          <w:rPr>
            <w:noProof/>
            <w:webHidden/>
          </w:rPr>
        </w:r>
        <w:r w:rsidR="00B617CB" w:rsidRPr="00377277">
          <w:rPr>
            <w:noProof/>
            <w:webHidden/>
          </w:rPr>
          <w:fldChar w:fldCharType="separate"/>
        </w:r>
        <w:r w:rsidR="00B617CB" w:rsidRPr="00377277">
          <w:rPr>
            <w:noProof/>
            <w:webHidden/>
          </w:rPr>
          <w:t>4</w:t>
        </w:r>
        <w:r w:rsidR="00B617CB" w:rsidRPr="00377277">
          <w:rPr>
            <w:noProof/>
            <w:webHidden/>
          </w:rPr>
          <w:fldChar w:fldCharType="end"/>
        </w:r>
      </w:hyperlink>
    </w:p>
    <w:p w:rsidR="00B617CB" w:rsidRPr="00377277" w:rsidRDefault="00377277">
      <w:pPr>
        <w:pStyle w:val="TOC2"/>
        <w:tabs>
          <w:tab w:val="right" w:leader="dot" w:pos="9016"/>
        </w:tabs>
        <w:rPr>
          <w:rFonts w:asciiTheme="minorHAnsi" w:eastAsiaTheme="minorEastAsia" w:hAnsiTheme="minorHAnsi"/>
          <w:noProof/>
          <w:color w:val="auto"/>
          <w:sz w:val="22"/>
          <w:lang w:eastAsia="en-NZ"/>
        </w:rPr>
      </w:pPr>
      <w:hyperlink w:anchor="_Toc500810257" w:history="1">
        <w:r w:rsidR="00B617CB" w:rsidRPr="00377277">
          <w:rPr>
            <w:rStyle w:val="Hyperlink"/>
            <w:noProof/>
          </w:rPr>
          <w:t>1.2 Overview of the Palestine and Lebanon contexts</w:t>
        </w:r>
        <w:r w:rsidR="00B617CB" w:rsidRPr="00377277">
          <w:rPr>
            <w:noProof/>
            <w:webHidden/>
          </w:rPr>
          <w:tab/>
        </w:r>
        <w:r w:rsidR="00B617CB" w:rsidRPr="00377277">
          <w:rPr>
            <w:noProof/>
            <w:webHidden/>
          </w:rPr>
          <w:fldChar w:fldCharType="begin"/>
        </w:r>
        <w:r w:rsidR="00B617CB" w:rsidRPr="00377277">
          <w:rPr>
            <w:noProof/>
            <w:webHidden/>
          </w:rPr>
          <w:instrText xml:space="preserve"> PAGEREF _Toc500810257 \h </w:instrText>
        </w:r>
        <w:r w:rsidR="00B617CB" w:rsidRPr="00377277">
          <w:rPr>
            <w:noProof/>
            <w:webHidden/>
          </w:rPr>
        </w:r>
        <w:r w:rsidR="00B617CB" w:rsidRPr="00377277">
          <w:rPr>
            <w:noProof/>
            <w:webHidden/>
          </w:rPr>
          <w:fldChar w:fldCharType="separate"/>
        </w:r>
        <w:r w:rsidR="00B617CB" w:rsidRPr="00377277">
          <w:rPr>
            <w:noProof/>
            <w:webHidden/>
          </w:rPr>
          <w:t>4</w:t>
        </w:r>
        <w:r w:rsidR="00B617CB" w:rsidRPr="00377277">
          <w:rPr>
            <w:noProof/>
            <w:webHidden/>
          </w:rPr>
          <w:fldChar w:fldCharType="end"/>
        </w:r>
      </w:hyperlink>
    </w:p>
    <w:p w:rsidR="00B617CB" w:rsidRPr="00377277" w:rsidRDefault="00377277">
      <w:pPr>
        <w:pStyle w:val="TOC1"/>
        <w:tabs>
          <w:tab w:val="right" w:leader="dot" w:pos="9016"/>
        </w:tabs>
        <w:rPr>
          <w:rFonts w:asciiTheme="minorHAnsi" w:eastAsiaTheme="minorEastAsia" w:hAnsiTheme="minorHAnsi"/>
          <w:noProof/>
          <w:color w:val="auto"/>
          <w:sz w:val="22"/>
          <w:lang w:eastAsia="en-NZ"/>
        </w:rPr>
      </w:pPr>
      <w:hyperlink w:anchor="_Toc500810258" w:history="1">
        <w:r w:rsidR="00B617CB" w:rsidRPr="00377277">
          <w:rPr>
            <w:rStyle w:val="Hyperlink"/>
            <w:noProof/>
          </w:rPr>
          <w:t>2. Mental health and intellectual disability in situations of risk</w:t>
        </w:r>
        <w:r w:rsidR="00B617CB" w:rsidRPr="00377277">
          <w:rPr>
            <w:noProof/>
            <w:webHidden/>
          </w:rPr>
          <w:tab/>
        </w:r>
        <w:r w:rsidR="00B617CB" w:rsidRPr="00377277">
          <w:rPr>
            <w:noProof/>
            <w:webHidden/>
          </w:rPr>
          <w:fldChar w:fldCharType="begin"/>
        </w:r>
        <w:r w:rsidR="00B617CB" w:rsidRPr="00377277">
          <w:rPr>
            <w:noProof/>
            <w:webHidden/>
          </w:rPr>
          <w:instrText xml:space="preserve"> PAGEREF _Toc500810258 \h </w:instrText>
        </w:r>
        <w:r w:rsidR="00B617CB" w:rsidRPr="00377277">
          <w:rPr>
            <w:noProof/>
            <w:webHidden/>
          </w:rPr>
        </w:r>
        <w:r w:rsidR="00B617CB" w:rsidRPr="00377277">
          <w:rPr>
            <w:noProof/>
            <w:webHidden/>
          </w:rPr>
          <w:fldChar w:fldCharType="separate"/>
        </w:r>
        <w:r w:rsidR="00B617CB" w:rsidRPr="00377277">
          <w:rPr>
            <w:noProof/>
            <w:webHidden/>
          </w:rPr>
          <w:t>6</w:t>
        </w:r>
        <w:r w:rsidR="00B617CB" w:rsidRPr="00377277">
          <w:rPr>
            <w:noProof/>
            <w:webHidden/>
          </w:rPr>
          <w:fldChar w:fldCharType="end"/>
        </w:r>
      </w:hyperlink>
    </w:p>
    <w:p w:rsidR="00B617CB" w:rsidRPr="00377277" w:rsidRDefault="00377277">
      <w:pPr>
        <w:pStyle w:val="TOC2"/>
        <w:tabs>
          <w:tab w:val="right" w:leader="dot" w:pos="9016"/>
        </w:tabs>
        <w:rPr>
          <w:rFonts w:asciiTheme="minorHAnsi" w:eastAsiaTheme="minorEastAsia" w:hAnsiTheme="minorHAnsi"/>
          <w:noProof/>
          <w:color w:val="auto"/>
          <w:sz w:val="22"/>
          <w:lang w:eastAsia="en-NZ"/>
        </w:rPr>
      </w:pPr>
      <w:hyperlink w:anchor="_Toc500810259" w:history="1">
        <w:r w:rsidR="00B617CB" w:rsidRPr="00377277">
          <w:rPr>
            <w:rStyle w:val="Hyperlink"/>
            <w:noProof/>
          </w:rPr>
          <w:t>2.1. Overview of mental health in situations of risk</w:t>
        </w:r>
        <w:r w:rsidR="00B617CB" w:rsidRPr="00377277">
          <w:rPr>
            <w:noProof/>
            <w:webHidden/>
          </w:rPr>
          <w:tab/>
        </w:r>
        <w:r w:rsidR="00B617CB" w:rsidRPr="00377277">
          <w:rPr>
            <w:noProof/>
            <w:webHidden/>
          </w:rPr>
          <w:fldChar w:fldCharType="begin"/>
        </w:r>
        <w:r w:rsidR="00B617CB" w:rsidRPr="00377277">
          <w:rPr>
            <w:noProof/>
            <w:webHidden/>
          </w:rPr>
          <w:instrText xml:space="preserve"> PAGEREF _Toc500810259 \h </w:instrText>
        </w:r>
        <w:r w:rsidR="00B617CB" w:rsidRPr="00377277">
          <w:rPr>
            <w:noProof/>
            <w:webHidden/>
          </w:rPr>
        </w:r>
        <w:r w:rsidR="00B617CB" w:rsidRPr="00377277">
          <w:rPr>
            <w:noProof/>
            <w:webHidden/>
          </w:rPr>
          <w:fldChar w:fldCharType="separate"/>
        </w:r>
        <w:r w:rsidR="00B617CB" w:rsidRPr="00377277">
          <w:rPr>
            <w:noProof/>
            <w:webHidden/>
          </w:rPr>
          <w:t>6</w:t>
        </w:r>
        <w:r w:rsidR="00B617CB" w:rsidRPr="00377277">
          <w:rPr>
            <w:noProof/>
            <w:webHidden/>
          </w:rPr>
          <w:fldChar w:fldCharType="end"/>
        </w:r>
      </w:hyperlink>
    </w:p>
    <w:p w:rsidR="00B617CB" w:rsidRPr="00377277" w:rsidRDefault="00377277">
      <w:pPr>
        <w:pStyle w:val="TOC2"/>
        <w:tabs>
          <w:tab w:val="right" w:leader="dot" w:pos="9016"/>
        </w:tabs>
        <w:rPr>
          <w:rFonts w:asciiTheme="minorHAnsi" w:eastAsiaTheme="minorEastAsia" w:hAnsiTheme="minorHAnsi"/>
          <w:noProof/>
          <w:color w:val="auto"/>
          <w:sz w:val="22"/>
          <w:lang w:eastAsia="en-NZ"/>
        </w:rPr>
      </w:pPr>
      <w:hyperlink w:anchor="_Toc500810260" w:history="1">
        <w:r w:rsidR="00B617CB" w:rsidRPr="00377277">
          <w:rPr>
            <w:rStyle w:val="Hyperlink"/>
            <w:noProof/>
          </w:rPr>
          <w:t>2.2. Overview of intellectual disability in situations of risk</w:t>
        </w:r>
        <w:r w:rsidR="00B617CB" w:rsidRPr="00377277">
          <w:rPr>
            <w:noProof/>
            <w:webHidden/>
          </w:rPr>
          <w:tab/>
        </w:r>
        <w:r w:rsidR="00B617CB" w:rsidRPr="00377277">
          <w:rPr>
            <w:noProof/>
            <w:webHidden/>
          </w:rPr>
          <w:fldChar w:fldCharType="begin"/>
        </w:r>
        <w:r w:rsidR="00B617CB" w:rsidRPr="00377277">
          <w:rPr>
            <w:noProof/>
            <w:webHidden/>
          </w:rPr>
          <w:instrText xml:space="preserve"> PAGEREF _Toc500810260 \h </w:instrText>
        </w:r>
        <w:r w:rsidR="00B617CB" w:rsidRPr="00377277">
          <w:rPr>
            <w:noProof/>
            <w:webHidden/>
          </w:rPr>
        </w:r>
        <w:r w:rsidR="00B617CB" w:rsidRPr="00377277">
          <w:rPr>
            <w:noProof/>
            <w:webHidden/>
          </w:rPr>
          <w:fldChar w:fldCharType="separate"/>
        </w:r>
        <w:r w:rsidR="00B617CB" w:rsidRPr="00377277">
          <w:rPr>
            <w:noProof/>
            <w:webHidden/>
          </w:rPr>
          <w:t>8</w:t>
        </w:r>
        <w:r w:rsidR="00B617CB" w:rsidRPr="00377277">
          <w:rPr>
            <w:noProof/>
            <w:webHidden/>
          </w:rPr>
          <w:fldChar w:fldCharType="end"/>
        </w:r>
      </w:hyperlink>
    </w:p>
    <w:p w:rsidR="00B617CB" w:rsidRPr="00377277" w:rsidRDefault="00377277">
      <w:pPr>
        <w:pStyle w:val="TOC2"/>
        <w:tabs>
          <w:tab w:val="right" w:leader="dot" w:pos="9016"/>
        </w:tabs>
        <w:rPr>
          <w:rFonts w:asciiTheme="minorHAnsi" w:eastAsiaTheme="minorEastAsia" w:hAnsiTheme="minorHAnsi"/>
          <w:noProof/>
          <w:color w:val="auto"/>
          <w:sz w:val="22"/>
          <w:lang w:eastAsia="en-NZ"/>
        </w:rPr>
      </w:pPr>
      <w:hyperlink w:anchor="_Toc500810261" w:history="1">
        <w:r w:rsidR="00B617CB" w:rsidRPr="00377277">
          <w:rPr>
            <w:rStyle w:val="Hyperlink"/>
            <w:noProof/>
          </w:rPr>
          <w:t>2.3. Disproportionate impact</w:t>
        </w:r>
        <w:r w:rsidR="00B617CB" w:rsidRPr="00377277">
          <w:rPr>
            <w:noProof/>
            <w:webHidden/>
          </w:rPr>
          <w:tab/>
        </w:r>
        <w:r w:rsidR="00B617CB" w:rsidRPr="00377277">
          <w:rPr>
            <w:noProof/>
            <w:webHidden/>
          </w:rPr>
          <w:fldChar w:fldCharType="begin"/>
        </w:r>
        <w:r w:rsidR="00B617CB" w:rsidRPr="00377277">
          <w:rPr>
            <w:noProof/>
            <w:webHidden/>
          </w:rPr>
          <w:instrText xml:space="preserve"> PAGEREF _Toc500810261 \h </w:instrText>
        </w:r>
        <w:r w:rsidR="00B617CB" w:rsidRPr="00377277">
          <w:rPr>
            <w:noProof/>
            <w:webHidden/>
          </w:rPr>
        </w:r>
        <w:r w:rsidR="00B617CB" w:rsidRPr="00377277">
          <w:rPr>
            <w:noProof/>
            <w:webHidden/>
          </w:rPr>
          <w:fldChar w:fldCharType="separate"/>
        </w:r>
        <w:r w:rsidR="00B617CB" w:rsidRPr="00377277">
          <w:rPr>
            <w:noProof/>
            <w:webHidden/>
          </w:rPr>
          <w:t>9</w:t>
        </w:r>
        <w:r w:rsidR="00B617CB" w:rsidRPr="00377277">
          <w:rPr>
            <w:noProof/>
            <w:webHidden/>
          </w:rPr>
          <w:fldChar w:fldCharType="end"/>
        </w:r>
      </w:hyperlink>
    </w:p>
    <w:p w:rsidR="00B617CB" w:rsidRPr="00377277" w:rsidRDefault="00377277">
      <w:pPr>
        <w:pStyle w:val="TOC1"/>
        <w:tabs>
          <w:tab w:val="right" w:leader="dot" w:pos="9016"/>
        </w:tabs>
        <w:rPr>
          <w:rFonts w:asciiTheme="minorHAnsi" w:eastAsiaTheme="minorEastAsia" w:hAnsiTheme="minorHAnsi"/>
          <w:noProof/>
          <w:color w:val="auto"/>
          <w:sz w:val="22"/>
          <w:lang w:eastAsia="en-NZ"/>
        </w:rPr>
      </w:pPr>
      <w:hyperlink w:anchor="_Toc500810262" w:history="1">
        <w:r w:rsidR="00B617CB" w:rsidRPr="00377277">
          <w:rPr>
            <w:rStyle w:val="Hyperlink"/>
            <w:noProof/>
          </w:rPr>
          <w:t>3. Access to and inclusion in DRR and humanitarian response</w:t>
        </w:r>
        <w:r w:rsidR="00B617CB" w:rsidRPr="00377277">
          <w:rPr>
            <w:noProof/>
            <w:webHidden/>
          </w:rPr>
          <w:tab/>
        </w:r>
        <w:r w:rsidR="00B617CB" w:rsidRPr="00377277">
          <w:rPr>
            <w:noProof/>
            <w:webHidden/>
          </w:rPr>
          <w:fldChar w:fldCharType="begin"/>
        </w:r>
        <w:r w:rsidR="00B617CB" w:rsidRPr="00377277">
          <w:rPr>
            <w:noProof/>
            <w:webHidden/>
          </w:rPr>
          <w:instrText xml:space="preserve"> PAGEREF _Toc500810262 \h </w:instrText>
        </w:r>
        <w:r w:rsidR="00B617CB" w:rsidRPr="00377277">
          <w:rPr>
            <w:noProof/>
            <w:webHidden/>
          </w:rPr>
        </w:r>
        <w:r w:rsidR="00B617CB" w:rsidRPr="00377277">
          <w:rPr>
            <w:noProof/>
            <w:webHidden/>
          </w:rPr>
          <w:fldChar w:fldCharType="separate"/>
        </w:r>
        <w:r w:rsidR="00B617CB" w:rsidRPr="00377277">
          <w:rPr>
            <w:noProof/>
            <w:webHidden/>
          </w:rPr>
          <w:t>12</w:t>
        </w:r>
        <w:r w:rsidR="00B617CB" w:rsidRPr="00377277">
          <w:rPr>
            <w:noProof/>
            <w:webHidden/>
          </w:rPr>
          <w:fldChar w:fldCharType="end"/>
        </w:r>
      </w:hyperlink>
    </w:p>
    <w:p w:rsidR="00B617CB" w:rsidRPr="00377277" w:rsidRDefault="00377277">
      <w:pPr>
        <w:pStyle w:val="TOC2"/>
        <w:tabs>
          <w:tab w:val="right" w:leader="dot" w:pos="9016"/>
        </w:tabs>
        <w:rPr>
          <w:rFonts w:asciiTheme="minorHAnsi" w:eastAsiaTheme="minorEastAsia" w:hAnsiTheme="minorHAnsi"/>
          <w:noProof/>
          <w:color w:val="auto"/>
          <w:sz w:val="22"/>
          <w:lang w:eastAsia="en-NZ"/>
        </w:rPr>
      </w:pPr>
      <w:hyperlink w:anchor="_Toc500810263" w:history="1">
        <w:r w:rsidR="00B617CB" w:rsidRPr="00377277">
          <w:rPr>
            <w:rStyle w:val="Hyperlink"/>
            <w:noProof/>
          </w:rPr>
          <w:t>3.1 Individual capacity</w:t>
        </w:r>
        <w:r w:rsidR="00B617CB" w:rsidRPr="00377277">
          <w:rPr>
            <w:noProof/>
            <w:webHidden/>
          </w:rPr>
          <w:tab/>
        </w:r>
        <w:r w:rsidR="00B617CB" w:rsidRPr="00377277">
          <w:rPr>
            <w:noProof/>
            <w:webHidden/>
          </w:rPr>
          <w:fldChar w:fldCharType="begin"/>
        </w:r>
        <w:r w:rsidR="00B617CB" w:rsidRPr="00377277">
          <w:rPr>
            <w:noProof/>
            <w:webHidden/>
          </w:rPr>
          <w:instrText xml:space="preserve"> PAGEREF _Toc500810263 \h </w:instrText>
        </w:r>
        <w:r w:rsidR="00B617CB" w:rsidRPr="00377277">
          <w:rPr>
            <w:noProof/>
            <w:webHidden/>
          </w:rPr>
        </w:r>
        <w:r w:rsidR="00B617CB" w:rsidRPr="00377277">
          <w:rPr>
            <w:noProof/>
            <w:webHidden/>
          </w:rPr>
          <w:fldChar w:fldCharType="separate"/>
        </w:r>
        <w:r w:rsidR="00B617CB" w:rsidRPr="00377277">
          <w:rPr>
            <w:noProof/>
            <w:webHidden/>
          </w:rPr>
          <w:t>12</w:t>
        </w:r>
        <w:r w:rsidR="00B617CB" w:rsidRPr="00377277">
          <w:rPr>
            <w:noProof/>
            <w:webHidden/>
          </w:rPr>
          <w:fldChar w:fldCharType="end"/>
        </w:r>
      </w:hyperlink>
    </w:p>
    <w:p w:rsidR="00B617CB" w:rsidRPr="00377277" w:rsidRDefault="00377277">
      <w:pPr>
        <w:pStyle w:val="TOC2"/>
        <w:tabs>
          <w:tab w:val="right" w:leader="dot" w:pos="9016"/>
        </w:tabs>
        <w:rPr>
          <w:rFonts w:asciiTheme="minorHAnsi" w:eastAsiaTheme="minorEastAsia" w:hAnsiTheme="minorHAnsi"/>
          <w:noProof/>
          <w:color w:val="auto"/>
          <w:sz w:val="22"/>
          <w:lang w:eastAsia="en-NZ"/>
        </w:rPr>
      </w:pPr>
      <w:hyperlink w:anchor="_Toc500810264" w:history="1">
        <w:r w:rsidR="00B617CB" w:rsidRPr="00377277">
          <w:rPr>
            <w:rStyle w:val="Hyperlink"/>
            <w:noProof/>
          </w:rPr>
          <w:t>3.2 Disability inclusion</w:t>
        </w:r>
        <w:r w:rsidR="00B617CB" w:rsidRPr="00377277">
          <w:rPr>
            <w:noProof/>
            <w:webHidden/>
          </w:rPr>
          <w:tab/>
        </w:r>
        <w:r w:rsidR="00B617CB" w:rsidRPr="00377277">
          <w:rPr>
            <w:noProof/>
            <w:webHidden/>
          </w:rPr>
          <w:fldChar w:fldCharType="begin"/>
        </w:r>
        <w:r w:rsidR="00B617CB" w:rsidRPr="00377277">
          <w:rPr>
            <w:noProof/>
            <w:webHidden/>
          </w:rPr>
          <w:instrText xml:space="preserve"> PAGEREF _Toc500810264 \h </w:instrText>
        </w:r>
        <w:r w:rsidR="00B617CB" w:rsidRPr="00377277">
          <w:rPr>
            <w:noProof/>
            <w:webHidden/>
          </w:rPr>
        </w:r>
        <w:r w:rsidR="00B617CB" w:rsidRPr="00377277">
          <w:rPr>
            <w:noProof/>
            <w:webHidden/>
          </w:rPr>
          <w:fldChar w:fldCharType="separate"/>
        </w:r>
        <w:r w:rsidR="00B617CB" w:rsidRPr="00377277">
          <w:rPr>
            <w:noProof/>
            <w:webHidden/>
          </w:rPr>
          <w:t>14</w:t>
        </w:r>
        <w:r w:rsidR="00B617CB" w:rsidRPr="00377277">
          <w:rPr>
            <w:noProof/>
            <w:webHidden/>
          </w:rPr>
          <w:fldChar w:fldCharType="end"/>
        </w:r>
      </w:hyperlink>
    </w:p>
    <w:p w:rsidR="00B617CB" w:rsidRPr="00377277" w:rsidRDefault="00377277">
      <w:pPr>
        <w:pStyle w:val="TOC2"/>
        <w:tabs>
          <w:tab w:val="right" w:leader="dot" w:pos="9016"/>
        </w:tabs>
        <w:rPr>
          <w:rFonts w:asciiTheme="minorHAnsi" w:eastAsiaTheme="minorEastAsia" w:hAnsiTheme="minorHAnsi"/>
          <w:noProof/>
          <w:color w:val="auto"/>
          <w:sz w:val="22"/>
          <w:lang w:eastAsia="en-NZ"/>
        </w:rPr>
      </w:pPr>
      <w:hyperlink w:anchor="_Toc500810265" w:history="1">
        <w:r w:rsidR="00B617CB" w:rsidRPr="00377277">
          <w:rPr>
            <w:rStyle w:val="Hyperlink"/>
            <w:noProof/>
          </w:rPr>
          <w:t>3.3 Participation</w:t>
        </w:r>
        <w:r w:rsidR="00B617CB" w:rsidRPr="00377277">
          <w:rPr>
            <w:noProof/>
            <w:webHidden/>
          </w:rPr>
          <w:tab/>
        </w:r>
        <w:r w:rsidR="00B617CB" w:rsidRPr="00377277">
          <w:rPr>
            <w:noProof/>
            <w:webHidden/>
          </w:rPr>
          <w:fldChar w:fldCharType="begin"/>
        </w:r>
        <w:r w:rsidR="00B617CB" w:rsidRPr="00377277">
          <w:rPr>
            <w:noProof/>
            <w:webHidden/>
          </w:rPr>
          <w:instrText xml:space="preserve"> PAGEREF _Toc500810265 \h </w:instrText>
        </w:r>
        <w:r w:rsidR="00B617CB" w:rsidRPr="00377277">
          <w:rPr>
            <w:noProof/>
            <w:webHidden/>
          </w:rPr>
        </w:r>
        <w:r w:rsidR="00B617CB" w:rsidRPr="00377277">
          <w:rPr>
            <w:noProof/>
            <w:webHidden/>
          </w:rPr>
          <w:fldChar w:fldCharType="separate"/>
        </w:r>
        <w:r w:rsidR="00B617CB" w:rsidRPr="00377277">
          <w:rPr>
            <w:noProof/>
            <w:webHidden/>
          </w:rPr>
          <w:t>17</w:t>
        </w:r>
        <w:r w:rsidR="00B617CB" w:rsidRPr="00377277">
          <w:rPr>
            <w:noProof/>
            <w:webHidden/>
          </w:rPr>
          <w:fldChar w:fldCharType="end"/>
        </w:r>
      </w:hyperlink>
    </w:p>
    <w:p w:rsidR="00B617CB" w:rsidRPr="00377277" w:rsidRDefault="00377277">
      <w:pPr>
        <w:pStyle w:val="TOC2"/>
        <w:tabs>
          <w:tab w:val="right" w:leader="dot" w:pos="9016"/>
        </w:tabs>
        <w:rPr>
          <w:rFonts w:asciiTheme="minorHAnsi" w:eastAsiaTheme="minorEastAsia" w:hAnsiTheme="minorHAnsi"/>
          <w:noProof/>
          <w:color w:val="auto"/>
          <w:sz w:val="22"/>
          <w:lang w:eastAsia="en-NZ"/>
        </w:rPr>
      </w:pPr>
      <w:hyperlink w:anchor="_Toc500810266" w:history="1">
        <w:r w:rsidR="00B617CB" w:rsidRPr="00377277">
          <w:rPr>
            <w:rStyle w:val="Hyperlink"/>
            <w:noProof/>
          </w:rPr>
          <w:t>3.4 Inclusive responses and services</w:t>
        </w:r>
        <w:r w:rsidR="00B617CB" w:rsidRPr="00377277">
          <w:rPr>
            <w:noProof/>
            <w:webHidden/>
          </w:rPr>
          <w:tab/>
        </w:r>
        <w:r w:rsidR="00B617CB" w:rsidRPr="00377277">
          <w:rPr>
            <w:noProof/>
            <w:webHidden/>
          </w:rPr>
          <w:fldChar w:fldCharType="begin"/>
        </w:r>
        <w:r w:rsidR="00B617CB" w:rsidRPr="00377277">
          <w:rPr>
            <w:noProof/>
            <w:webHidden/>
          </w:rPr>
          <w:instrText xml:space="preserve"> PAGEREF _Toc500810266 \h </w:instrText>
        </w:r>
        <w:r w:rsidR="00B617CB" w:rsidRPr="00377277">
          <w:rPr>
            <w:noProof/>
            <w:webHidden/>
          </w:rPr>
        </w:r>
        <w:r w:rsidR="00B617CB" w:rsidRPr="00377277">
          <w:rPr>
            <w:noProof/>
            <w:webHidden/>
          </w:rPr>
          <w:fldChar w:fldCharType="separate"/>
        </w:r>
        <w:r w:rsidR="00B617CB" w:rsidRPr="00377277">
          <w:rPr>
            <w:noProof/>
            <w:webHidden/>
          </w:rPr>
          <w:t>19</w:t>
        </w:r>
        <w:r w:rsidR="00B617CB" w:rsidRPr="00377277">
          <w:rPr>
            <w:noProof/>
            <w:webHidden/>
          </w:rPr>
          <w:fldChar w:fldCharType="end"/>
        </w:r>
      </w:hyperlink>
    </w:p>
    <w:p w:rsidR="00B617CB" w:rsidRPr="00377277" w:rsidRDefault="00377277">
      <w:pPr>
        <w:pStyle w:val="TOC2"/>
        <w:tabs>
          <w:tab w:val="right" w:leader="dot" w:pos="9016"/>
        </w:tabs>
        <w:rPr>
          <w:rFonts w:asciiTheme="minorHAnsi" w:eastAsiaTheme="minorEastAsia" w:hAnsiTheme="minorHAnsi"/>
          <w:noProof/>
          <w:color w:val="auto"/>
          <w:sz w:val="22"/>
          <w:lang w:eastAsia="en-NZ"/>
        </w:rPr>
      </w:pPr>
      <w:hyperlink w:anchor="_Toc500810267" w:history="1">
        <w:r w:rsidR="00B617CB" w:rsidRPr="00377277">
          <w:rPr>
            <w:rStyle w:val="Hyperlink"/>
            <w:noProof/>
          </w:rPr>
          <w:t>3.5 Non-discrimination</w:t>
        </w:r>
        <w:r w:rsidR="00B617CB" w:rsidRPr="00377277">
          <w:rPr>
            <w:noProof/>
            <w:webHidden/>
          </w:rPr>
          <w:tab/>
        </w:r>
        <w:r w:rsidR="00B617CB" w:rsidRPr="00377277">
          <w:rPr>
            <w:noProof/>
            <w:webHidden/>
          </w:rPr>
          <w:fldChar w:fldCharType="begin"/>
        </w:r>
        <w:r w:rsidR="00B617CB" w:rsidRPr="00377277">
          <w:rPr>
            <w:noProof/>
            <w:webHidden/>
          </w:rPr>
          <w:instrText xml:space="preserve"> PAGEREF _Toc500810267 \h </w:instrText>
        </w:r>
        <w:r w:rsidR="00B617CB" w:rsidRPr="00377277">
          <w:rPr>
            <w:noProof/>
            <w:webHidden/>
          </w:rPr>
        </w:r>
        <w:r w:rsidR="00B617CB" w:rsidRPr="00377277">
          <w:rPr>
            <w:noProof/>
            <w:webHidden/>
          </w:rPr>
          <w:fldChar w:fldCharType="separate"/>
        </w:r>
        <w:r w:rsidR="00B617CB" w:rsidRPr="00377277">
          <w:rPr>
            <w:noProof/>
            <w:webHidden/>
          </w:rPr>
          <w:t>24</w:t>
        </w:r>
        <w:r w:rsidR="00B617CB" w:rsidRPr="00377277">
          <w:rPr>
            <w:noProof/>
            <w:webHidden/>
          </w:rPr>
          <w:fldChar w:fldCharType="end"/>
        </w:r>
      </w:hyperlink>
    </w:p>
    <w:p w:rsidR="00B617CB" w:rsidRPr="00377277" w:rsidRDefault="00377277">
      <w:pPr>
        <w:pStyle w:val="TOC1"/>
        <w:tabs>
          <w:tab w:val="right" w:leader="dot" w:pos="9016"/>
        </w:tabs>
        <w:rPr>
          <w:rFonts w:asciiTheme="minorHAnsi" w:eastAsiaTheme="minorEastAsia" w:hAnsiTheme="minorHAnsi"/>
          <w:noProof/>
          <w:color w:val="auto"/>
          <w:sz w:val="22"/>
          <w:lang w:eastAsia="en-NZ"/>
        </w:rPr>
      </w:pPr>
      <w:hyperlink w:anchor="_Toc500810268" w:history="1">
        <w:r w:rsidR="00B617CB" w:rsidRPr="00377277">
          <w:rPr>
            <w:rStyle w:val="Hyperlink"/>
            <w:noProof/>
          </w:rPr>
          <w:t>4. Conclusion</w:t>
        </w:r>
        <w:r w:rsidR="00B617CB" w:rsidRPr="00377277">
          <w:rPr>
            <w:noProof/>
            <w:webHidden/>
          </w:rPr>
          <w:tab/>
        </w:r>
        <w:r w:rsidR="00B617CB" w:rsidRPr="00377277">
          <w:rPr>
            <w:noProof/>
            <w:webHidden/>
          </w:rPr>
          <w:fldChar w:fldCharType="begin"/>
        </w:r>
        <w:r w:rsidR="00B617CB" w:rsidRPr="00377277">
          <w:rPr>
            <w:noProof/>
            <w:webHidden/>
          </w:rPr>
          <w:instrText xml:space="preserve"> PAGEREF _Toc500810268 \h </w:instrText>
        </w:r>
        <w:r w:rsidR="00B617CB" w:rsidRPr="00377277">
          <w:rPr>
            <w:noProof/>
            <w:webHidden/>
          </w:rPr>
        </w:r>
        <w:r w:rsidR="00B617CB" w:rsidRPr="00377277">
          <w:rPr>
            <w:noProof/>
            <w:webHidden/>
          </w:rPr>
          <w:fldChar w:fldCharType="separate"/>
        </w:r>
        <w:r w:rsidR="00B617CB" w:rsidRPr="00377277">
          <w:rPr>
            <w:noProof/>
            <w:webHidden/>
          </w:rPr>
          <w:t>27</w:t>
        </w:r>
        <w:r w:rsidR="00B617CB" w:rsidRPr="00377277">
          <w:rPr>
            <w:noProof/>
            <w:webHidden/>
          </w:rPr>
          <w:fldChar w:fldCharType="end"/>
        </w:r>
      </w:hyperlink>
    </w:p>
    <w:p w:rsidR="00B617CB" w:rsidRPr="00377277" w:rsidRDefault="00377277">
      <w:pPr>
        <w:pStyle w:val="TOC1"/>
        <w:tabs>
          <w:tab w:val="right" w:leader="dot" w:pos="9016"/>
        </w:tabs>
        <w:rPr>
          <w:rFonts w:asciiTheme="minorHAnsi" w:eastAsiaTheme="minorEastAsia" w:hAnsiTheme="minorHAnsi"/>
          <w:noProof/>
          <w:color w:val="auto"/>
          <w:sz w:val="22"/>
          <w:lang w:eastAsia="en-NZ"/>
        </w:rPr>
      </w:pPr>
      <w:hyperlink w:anchor="_Toc500810269" w:history="1">
        <w:r w:rsidR="00B617CB" w:rsidRPr="00377277">
          <w:rPr>
            <w:rStyle w:val="Hyperlink"/>
            <w:noProof/>
          </w:rPr>
          <w:t>References</w:t>
        </w:r>
        <w:r w:rsidR="00B617CB" w:rsidRPr="00377277">
          <w:rPr>
            <w:noProof/>
            <w:webHidden/>
          </w:rPr>
          <w:tab/>
        </w:r>
        <w:r w:rsidR="00B617CB" w:rsidRPr="00377277">
          <w:rPr>
            <w:noProof/>
            <w:webHidden/>
          </w:rPr>
          <w:fldChar w:fldCharType="begin"/>
        </w:r>
        <w:r w:rsidR="00B617CB" w:rsidRPr="00377277">
          <w:rPr>
            <w:noProof/>
            <w:webHidden/>
          </w:rPr>
          <w:instrText xml:space="preserve"> PAGEREF _Toc500810269 \h </w:instrText>
        </w:r>
        <w:r w:rsidR="00B617CB" w:rsidRPr="00377277">
          <w:rPr>
            <w:noProof/>
            <w:webHidden/>
          </w:rPr>
        </w:r>
        <w:r w:rsidR="00B617CB" w:rsidRPr="00377277">
          <w:rPr>
            <w:noProof/>
            <w:webHidden/>
          </w:rPr>
          <w:fldChar w:fldCharType="separate"/>
        </w:r>
        <w:r w:rsidR="00B617CB" w:rsidRPr="00377277">
          <w:rPr>
            <w:noProof/>
            <w:webHidden/>
          </w:rPr>
          <w:t>28</w:t>
        </w:r>
        <w:r w:rsidR="00B617CB" w:rsidRPr="00377277">
          <w:rPr>
            <w:noProof/>
            <w:webHidden/>
          </w:rPr>
          <w:fldChar w:fldCharType="end"/>
        </w:r>
      </w:hyperlink>
    </w:p>
    <w:p w:rsidR="00B617CB" w:rsidRPr="00377277" w:rsidRDefault="00B617CB" w:rsidP="003665E6">
      <w:pPr>
        <w:pStyle w:val="NormalWeb"/>
        <w:shd w:val="clear" w:color="auto" w:fill="FFFFFF"/>
        <w:spacing w:before="0" w:beforeAutospacing="0" w:after="0" w:afterAutospacing="0" w:line="240" w:lineRule="atLeast"/>
        <w:jc w:val="both"/>
        <w:textAlignment w:val="baseline"/>
        <w:rPr>
          <w:rFonts w:ascii="Arial" w:hAnsi="Arial" w:cs="Arial"/>
          <w:b/>
          <w:color w:val="000000"/>
        </w:rPr>
      </w:pPr>
      <w:r w:rsidRPr="00377277">
        <w:rPr>
          <w:rFonts w:ascii="Arial" w:hAnsi="Arial" w:cs="Arial"/>
          <w:b/>
          <w:color w:val="000000"/>
        </w:rPr>
        <w:fldChar w:fldCharType="end"/>
      </w:r>
    </w:p>
    <w:p w:rsidR="00B617CB" w:rsidRPr="00377277" w:rsidRDefault="00B617CB" w:rsidP="003665E6">
      <w:pPr>
        <w:pStyle w:val="NormalWeb"/>
        <w:shd w:val="clear" w:color="auto" w:fill="FFFFFF"/>
        <w:spacing w:before="0" w:beforeAutospacing="0" w:after="0" w:afterAutospacing="0" w:line="240" w:lineRule="atLeast"/>
        <w:jc w:val="both"/>
        <w:textAlignment w:val="baseline"/>
        <w:rPr>
          <w:rFonts w:ascii="Arial" w:hAnsi="Arial" w:cs="Arial"/>
          <w:b/>
          <w:color w:val="000000"/>
        </w:rPr>
      </w:pPr>
    </w:p>
    <w:p w:rsidR="00B617CB" w:rsidRPr="00377277" w:rsidRDefault="00B617CB" w:rsidP="003665E6">
      <w:pPr>
        <w:pStyle w:val="NormalWeb"/>
        <w:shd w:val="clear" w:color="auto" w:fill="FFFFFF"/>
        <w:spacing w:before="0" w:beforeAutospacing="0" w:after="0" w:afterAutospacing="0" w:line="240" w:lineRule="atLeast"/>
        <w:jc w:val="both"/>
        <w:textAlignment w:val="baseline"/>
        <w:rPr>
          <w:rFonts w:ascii="Arial" w:hAnsi="Arial" w:cs="Arial"/>
          <w:b/>
          <w:color w:val="000000"/>
        </w:rPr>
      </w:pPr>
    </w:p>
    <w:p w:rsidR="00B617CB" w:rsidRPr="00377277" w:rsidRDefault="00B617CB">
      <w:pPr>
        <w:spacing w:after="200" w:line="276" w:lineRule="auto"/>
        <w:rPr>
          <w:rFonts w:eastAsiaTheme="majorEastAsia" w:cstheme="majorBidi"/>
          <w:b/>
          <w:bCs/>
          <w:color w:val="002060"/>
          <w:sz w:val="32"/>
          <w:szCs w:val="28"/>
        </w:rPr>
      </w:pPr>
      <w:bookmarkStart w:id="1" w:name="_Toc414444479"/>
      <w:bookmarkStart w:id="2" w:name="_Toc452736000"/>
      <w:r w:rsidRPr="00377277">
        <w:br w:type="page"/>
      </w:r>
    </w:p>
    <w:p w:rsidR="00B617CB" w:rsidRPr="00377277" w:rsidRDefault="00B617CB" w:rsidP="003665E6">
      <w:pPr>
        <w:pStyle w:val="Heading1"/>
      </w:pPr>
      <w:bookmarkStart w:id="3" w:name="_Toc500810255"/>
      <w:r w:rsidRPr="00377277">
        <w:lastRenderedPageBreak/>
        <w:t>1. Introduction</w:t>
      </w:r>
      <w:bookmarkEnd w:id="1"/>
      <w:bookmarkEnd w:id="2"/>
      <w:bookmarkEnd w:id="3"/>
      <w:r w:rsidRPr="00377277">
        <w:t xml:space="preserve"> </w:t>
      </w:r>
    </w:p>
    <w:p w:rsidR="00B617CB" w:rsidRPr="00377277" w:rsidRDefault="00B617CB" w:rsidP="003665E6">
      <w:pPr>
        <w:pStyle w:val="NormalWeb"/>
        <w:shd w:val="clear" w:color="auto" w:fill="FFFFFF"/>
        <w:spacing w:before="0" w:beforeAutospacing="0" w:after="0" w:afterAutospacing="0" w:line="240" w:lineRule="atLeast"/>
        <w:jc w:val="both"/>
        <w:textAlignment w:val="baseline"/>
        <w:rPr>
          <w:rFonts w:ascii="Arial" w:hAnsi="Arial" w:cs="Arial"/>
          <w:color w:val="000000"/>
        </w:rPr>
      </w:pPr>
    </w:p>
    <w:p w:rsidR="00B617CB" w:rsidRPr="00377277" w:rsidRDefault="00B617CB" w:rsidP="003665E6">
      <w:pPr>
        <w:pStyle w:val="BodyA"/>
        <w:rPr>
          <w:lang w:val="en-GB"/>
        </w:rPr>
      </w:pPr>
      <w:r w:rsidRPr="00377277">
        <w:rPr>
          <w:lang w:val="en-GB"/>
        </w:rPr>
        <w:t>Situations where communities have been disrupted and destabilised are defined as emergencies by the Inter-Agency Network for Education in Emergencies.</w:t>
      </w:r>
      <w:r w:rsidRPr="00377277">
        <w:rPr>
          <w:rStyle w:val="FootnoteReference"/>
          <w:lang w:val="en-GB"/>
        </w:rPr>
        <w:footnoteReference w:id="1"/>
      </w:r>
      <w:r w:rsidRPr="00377277">
        <w:rPr>
          <w:lang w:val="en-GB"/>
        </w:rPr>
        <w:t xml:space="preserve"> Disasters involve extensive loss and impact including human, material, economic or environment. These can be as a result of a natural or man-made hazard, political instability and humanitarian emergencies. Conflict, including situations </w:t>
      </w:r>
      <w:r w:rsidR="00377277" w:rsidRPr="00377277">
        <w:rPr>
          <w:lang w:val="en-GB"/>
        </w:rPr>
        <w:t xml:space="preserve">of </w:t>
      </w:r>
      <w:r w:rsidRPr="00377277">
        <w:rPr>
          <w:lang w:val="en-GB"/>
        </w:rPr>
        <w:t>violent and armed conflict, are another type of disaster. In a disaster, the functioning of communities is disrupted beyond the ability for them to cope within the means of their own resources.</w:t>
      </w:r>
    </w:p>
    <w:p w:rsidR="00B617CB" w:rsidRPr="00377277" w:rsidRDefault="00B617CB" w:rsidP="003665E6">
      <w:pPr>
        <w:pStyle w:val="BodyA"/>
        <w:rPr>
          <w:lang w:val="en-GB"/>
        </w:rPr>
      </w:pPr>
    </w:p>
    <w:p w:rsidR="00B617CB" w:rsidRPr="00377277" w:rsidRDefault="00B617CB" w:rsidP="003665E6">
      <w:pPr>
        <w:pStyle w:val="BodyA"/>
        <w:rPr>
          <w:lang w:val="en-GB"/>
        </w:rPr>
      </w:pPr>
      <w:r w:rsidRPr="00377277">
        <w:rPr>
          <w:lang w:val="en-GB"/>
        </w:rPr>
        <w:t xml:space="preserve">Palestine and Lebanon are both currently in situations where their communities are disrupted and destabilised. Lebanon is situated in a region with neighbouring countries facing crisis and currently hosts the highest refugee population per capita in the world. Lebanon is faced with a humanitarian crisis as they struggle to provide the protection and assistance </w:t>
      </w:r>
      <w:r w:rsidR="00377277" w:rsidRPr="00377277">
        <w:rPr>
          <w:lang w:val="en-GB"/>
        </w:rPr>
        <w:t xml:space="preserve">needed </w:t>
      </w:r>
      <w:r w:rsidR="00377277">
        <w:rPr>
          <w:lang w:val="en-GB"/>
        </w:rPr>
        <w:t xml:space="preserve">by </w:t>
      </w:r>
      <w:r w:rsidRPr="00377277">
        <w:rPr>
          <w:lang w:val="en-GB"/>
        </w:rPr>
        <w:t xml:space="preserve">the various populations. Palestine is characterised </w:t>
      </w:r>
      <w:r w:rsidR="00377277">
        <w:rPr>
          <w:lang w:val="en-GB"/>
        </w:rPr>
        <w:t>by</w:t>
      </w:r>
      <w:r w:rsidRPr="00377277">
        <w:rPr>
          <w:lang w:val="en-GB"/>
        </w:rPr>
        <w:t xml:space="preserve"> recurrent conflict, blockades, military control, occupation and restricted movement presenting considerable challenges to daily life and humanitarian action. Both areas have displacement in common; Palestine with internal displacement and Lebanon with refugees.</w:t>
      </w:r>
    </w:p>
    <w:p w:rsidR="00B617CB" w:rsidRPr="00377277" w:rsidRDefault="00B617CB" w:rsidP="003665E6">
      <w:pPr>
        <w:pStyle w:val="BodyA"/>
        <w:rPr>
          <w:lang w:val="en-GB"/>
        </w:rPr>
      </w:pPr>
    </w:p>
    <w:p w:rsidR="00B617CB" w:rsidRPr="00377277" w:rsidRDefault="00B617CB" w:rsidP="003665E6">
      <w:pPr>
        <w:pStyle w:val="BodyA"/>
        <w:rPr>
          <w:lang w:val="en-GB"/>
        </w:rPr>
      </w:pPr>
      <w:r w:rsidRPr="00377277">
        <w:rPr>
          <w:lang w:val="en-GB"/>
        </w:rPr>
        <w:t xml:space="preserve">The adverse impact of emergencies, disasters and conflict experienced by people with disabilities is widely recognised to be disproportionately more than that experienced by the general population. The United Nations </w:t>
      </w:r>
      <w:r w:rsidR="00F723A2">
        <w:rPr>
          <w:lang w:val="en-GB"/>
        </w:rPr>
        <w:t>C</w:t>
      </w:r>
      <w:r w:rsidRPr="00377277">
        <w:rPr>
          <w:lang w:val="en-GB"/>
        </w:rPr>
        <w:t xml:space="preserve">onvention on the </w:t>
      </w:r>
      <w:r w:rsidR="00F723A2">
        <w:rPr>
          <w:lang w:val="en-GB"/>
        </w:rPr>
        <w:t>R</w:t>
      </w:r>
      <w:r w:rsidRPr="00377277">
        <w:rPr>
          <w:lang w:val="en-GB"/>
        </w:rPr>
        <w:t xml:space="preserve">ights of </w:t>
      </w:r>
      <w:r w:rsidR="00F723A2">
        <w:rPr>
          <w:lang w:val="en-GB"/>
        </w:rPr>
        <w:t>P</w:t>
      </w:r>
      <w:r w:rsidRPr="00377277">
        <w:rPr>
          <w:lang w:val="en-GB"/>
        </w:rPr>
        <w:t xml:space="preserve">ersons with </w:t>
      </w:r>
      <w:r w:rsidR="00F723A2">
        <w:rPr>
          <w:lang w:val="en-GB"/>
        </w:rPr>
        <w:t>D</w:t>
      </w:r>
      <w:r w:rsidRPr="00377277">
        <w:rPr>
          <w:lang w:val="en-GB"/>
        </w:rPr>
        <w:t xml:space="preserve">isabilities </w:t>
      </w:r>
      <w:r w:rsidR="00FC1D79">
        <w:rPr>
          <w:lang w:val="en-GB"/>
        </w:rPr>
        <w:t xml:space="preserve">(UNCRPD) </w:t>
      </w:r>
      <w:r w:rsidRPr="00377277">
        <w:rPr>
          <w:lang w:val="en-GB"/>
        </w:rPr>
        <w:t>provides a set of rights-based principles calling on states to provide protection and safety to people with disabilities in conflict, humanitarian emergencies and natural disasters.</w:t>
      </w:r>
      <w:r w:rsidRPr="00377277">
        <w:rPr>
          <w:rStyle w:val="FootnoteReference"/>
          <w:lang w:val="en-GB"/>
        </w:rPr>
        <w:footnoteReference w:id="2"/>
      </w:r>
      <w:r w:rsidRPr="00377277">
        <w:rPr>
          <w:lang w:val="en-GB"/>
        </w:rPr>
        <w:t xml:space="preserve"> It is expected that people with disabilities be involved in, considered in, and benefit from all disaster management activities. The “The Sendai framework for Disaster Risk Reduction” and the “Charter on inclusion of persons with disabilities in humanitarian action” provide further guidance on the principles of disability inclusion in disaster risk reduction and humanitarian assistance.</w:t>
      </w:r>
      <w:r w:rsidRPr="00377277">
        <w:rPr>
          <w:rStyle w:val="FootnoteReference"/>
          <w:lang w:val="en-GB"/>
        </w:rPr>
        <w:footnoteReference w:id="3"/>
      </w:r>
      <w:r w:rsidRPr="00377277">
        <w:rPr>
          <w:lang w:val="en-GB"/>
        </w:rPr>
        <w:t xml:space="preserve"> </w:t>
      </w:r>
    </w:p>
    <w:p w:rsidR="00B617CB" w:rsidRPr="00377277" w:rsidRDefault="00B617CB" w:rsidP="003665E6">
      <w:pPr>
        <w:pStyle w:val="BodyA"/>
        <w:rPr>
          <w:lang w:val="en-GB"/>
        </w:rPr>
      </w:pPr>
    </w:p>
    <w:p w:rsidR="00B617CB" w:rsidRPr="00377277" w:rsidRDefault="00B617CB" w:rsidP="003665E6">
      <w:pPr>
        <w:pStyle w:val="BodyA"/>
        <w:rPr>
          <w:lang w:val="en-GB"/>
        </w:rPr>
      </w:pPr>
      <w:r w:rsidRPr="00377277">
        <w:rPr>
          <w:lang w:val="en-GB"/>
        </w:rPr>
        <w:t xml:space="preserve">Guidelines and policies for disability inclusion in disaster risk reduction </w:t>
      </w:r>
      <w:r w:rsidR="007E7B18">
        <w:rPr>
          <w:lang w:val="en-GB"/>
        </w:rPr>
        <w:t xml:space="preserve">(DRR) </w:t>
      </w:r>
      <w:r w:rsidRPr="00377277">
        <w:rPr>
          <w:lang w:val="en-GB"/>
        </w:rPr>
        <w:t>and humanitarian action have been</w:t>
      </w:r>
      <w:r w:rsidR="007E7B18">
        <w:rPr>
          <w:lang w:val="en-GB"/>
        </w:rPr>
        <w:t>,</w:t>
      </w:r>
      <w:r w:rsidRPr="00377277">
        <w:rPr>
          <w:lang w:val="en-GB"/>
        </w:rPr>
        <w:t xml:space="preserve"> and continue to be</w:t>
      </w:r>
      <w:r w:rsidR="007E7B18">
        <w:rPr>
          <w:lang w:val="en-GB"/>
        </w:rPr>
        <w:t>,</w:t>
      </w:r>
      <w:r w:rsidRPr="00377277">
        <w:rPr>
          <w:lang w:val="en-GB"/>
        </w:rPr>
        <w:t xml:space="preserve"> developed by governments, international organisations and humanitarian agents. Despite these disability inclusion efforts, people with intellectual disabilities and mental health issues are reported to continue to face disadvantage, and to a greater extent than those identifying with other disabilit</w:t>
      </w:r>
      <w:r w:rsidR="007E7B18">
        <w:rPr>
          <w:lang w:val="en-GB"/>
        </w:rPr>
        <w:t>ies</w:t>
      </w:r>
      <w:r w:rsidRPr="00377277">
        <w:rPr>
          <w:lang w:val="en-GB"/>
        </w:rPr>
        <w:t xml:space="preserve">. </w:t>
      </w:r>
    </w:p>
    <w:p w:rsidR="00B617CB" w:rsidRPr="00377277" w:rsidRDefault="00B617CB" w:rsidP="003665E6">
      <w:pPr>
        <w:pStyle w:val="BodyA"/>
        <w:rPr>
          <w:lang w:val="en-GB"/>
        </w:rPr>
      </w:pPr>
    </w:p>
    <w:p w:rsidR="00B617CB" w:rsidRPr="00377277" w:rsidRDefault="00B617CB" w:rsidP="003665E6">
      <w:pPr>
        <w:pStyle w:val="BodyA"/>
        <w:rPr>
          <w:lang w:val="en-GB"/>
        </w:rPr>
      </w:pPr>
      <w:r w:rsidRPr="00377277">
        <w:rPr>
          <w:lang w:val="en-GB"/>
        </w:rPr>
        <w:t>On the basis of these understandings, this literature review seeks to gain a better understanding of the particular challenges faced by people with intellectual disabilities and those with mental health issues in Palestine and the refugee settings in Lebanon. The review addresses the following research questions:</w:t>
      </w:r>
    </w:p>
    <w:p w:rsidR="00B617CB" w:rsidRPr="00377277" w:rsidRDefault="00B617CB" w:rsidP="003665E6">
      <w:pPr>
        <w:pStyle w:val="BodyA"/>
        <w:rPr>
          <w:lang w:val="en-GB"/>
        </w:rPr>
      </w:pPr>
    </w:p>
    <w:p w:rsidR="00B617CB" w:rsidRPr="00377277" w:rsidRDefault="00B617CB" w:rsidP="003665E6">
      <w:pPr>
        <w:pStyle w:val="BodyA"/>
        <w:numPr>
          <w:ilvl w:val="0"/>
          <w:numId w:val="22"/>
        </w:numPr>
        <w:rPr>
          <w:lang w:val="en-GB"/>
        </w:rPr>
      </w:pPr>
      <w:r w:rsidRPr="00377277">
        <w:rPr>
          <w:lang w:val="en-GB"/>
        </w:rPr>
        <w:lastRenderedPageBreak/>
        <w:t xml:space="preserve">What do we know about persons with intellectual disabilities and persons with mental health issues in the context of conflict and crisis and in particular in Palestine and Lebanon? What are the factors/barriers that may contribute to disproportionate risk in the context of natural hazards and conflict? </w:t>
      </w:r>
    </w:p>
    <w:p w:rsidR="00B617CB" w:rsidRPr="00377277" w:rsidRDefault="00B617CB" w:rsidP="003665E6">
      <w:pPr>
        <w:pStyle w:val="BodyA"/>
        <w:ind w:left="360"/>
        <w:rPr>
          <w:lang w:val="en-GB"/>
        </w:rPr>
      </w:pPr>
    </w:p>
    <w:p w:rsidR="00B617CB" w:rsidRPr="00377277" w:rsidRDefault="00B617CB" w:rsidP="003665E6">
      <w:pPr>
        <w:pStyle w:val="BodyA"/>
        <w:numPr>
          <w:ilvl w:val="0"/>
          <w:numId w:val="22"/>
        </w:numPr>
        <w:rPr>
          <w:lang w:val="en-GB"/>
        </w:rPr>
      </w:pPr>
      <w:r w:rsidRPr="00377277">
        <w:rPr>
          <w:lang w:val="en-GB"/>
        </w:rPr>
        <w:t>What are the protection/prevention and inclusion/exclusion factors to consider in programming for DRR and humanitarian response? How does that relate to what other actors are doing in the field? Where are the gaps?</w:t>
      </w:r>
    </w:p>
    <w:p w:rsidR="00B617CB" w:rsidRPr="00377277" w:rsidRDefault="00B617CB" w:rsidP="003665E6">
      <w:pPr>
        <w:pStyle w:val="BodyA"/>
        <w:ind w:left="360"/>
        <w:rPr>
          <w:lang w:val="en-GB"/>
        </w:rPr>
      </w:pPr>
    </w:p>
    <w:p w:rsidR="00B617CB" w:rsidRPr="00377277" w:rsidRDefault="00B617CB" w:rsidP="003665E6">
      <w:pPr>
        <w:pStyle w:val="BodyA"/>
        <w:numPr>
          <w:ilvl w:val="0"/>
          <w:numId w:val="22"/>
        </w:numPr>
        <w:rPr>
          <w:lang w:val="en-GB"/>
        </w:rPr>
      </w:pPr>
      <w:r w:rsidRPr="00377277">
        <w:rPr>
          <w:lang w:val="en-GB"/>
        </w:rPr>
        <w:t xml:space="preserve">What are the best practices, lessons learned and/or evidence from DRR planning and humanitarian efforts (across all sectors) in the local and international contexts that can be drawn upon to inform next steps for </w:t>
      </w:r>
      <w:r w:rsidR="007E7B18" w:rsidRPr="00377277">
        <w:rPr>
          <w:lang w:val="en-GB"/>
        </w:rPr>
        <w:t xml:space="preserve">Norwegian Association of the Disabled </w:t>
      </w:r>
      <w:r w:rsidR="007E7B18">
        <w:rPr>
          <w:lang w:val="en-GB"/>
        </w:rPr>
        <w:t>(</w:t>
      </w:r>
      <w:r w:rsidRPr="00377277">
        <w:rPr>
          <w:lang w:val="en-GB"/>
        </w:rPr>
        <w:t>NAD</w:t>
      </w:r>
      <w:r w:rsidR="007E7B18">
        <w:rPr>
          <w:lang w:val="en-GB"/>
        </w:rPr>
        <w:t>)</w:t>
      </w:r>
      <w:r w:rsidRPr="00377277">
        <w:rPr>
          <w:lang w:val="en-GB"/>
        </w:rPr>
        <w:t>. How can we engage in innovative ways with refugee</w:t>
      </w:r>
      <w:r w:rsidR="007E7B18">
        <w:rPr>
          <w:lang w:val="en-GB"/>
        </w:rPr>
        <w:t xml:space="preserve"> and </w:t>
      </w:r>
      <w:r w:rsidRPr="00377277">
        <w:rPr>
          <w:lang w:val="en-GB"/>
        </w:rPr>
        <w:t>internally displaced communities to draw on assets and resources to build resilience?</w:t>
      </w:r>
    </w:p>
    <w:p w:rsidR="00B617CB" w:rsidRPr="00377277" w:rsidRDefault="00B617CB" w:rsidP="003665E6">
      <w:pPr>
        <w:pStyle w:val="BodyA"/>
        <w:rPr>
          <w:lang w:val="en-GB"/>
        </w:rPr>
      </w:pPr>
    </w:p>
    <w:p w:rsidR="00B617CB" w:rsidRPr="00377277" w:rsidRDefault="00B617CB" w:rsidP="003665E6">
      <w:pPr>
        <w:pStyle w:val="BodyA"/>
        <w:rPr>
          <w:lang w:val="en-GB"/>
        </w:rPr>
      </w:pPr>
      <w:r w:rsidRPr="00377277">
        <w:rPr>
          <w:lang w:val="en-GB"/>
        </w:rPr>
        <w:t xml:space="preserve">The literature sourced includes research articles, activity reports, statistics, government documents, country reports, international organisation and UN reports, reviews and guidelines. Where it was available, literature specific to the contexts of Palestine and Lebanon was reviewed, including Arabic </w:t>
      </w:r>
      <w:r w:rsidR="007E7B18">
        <w:rPr>
          <w:lang w:val="en-GB"/>
        </w:rPr>
        <w:t xml:space="preserve">language </w:t>
      </w:r>
      <w:r w:rsidRPr="00377277">
        <w:rPr>
          <w:lang w:val="en-GB"/>
        </w:rPr>
        <w:t>material.</w:t>
      </w:r>
    </w:p>
    <w:p w:rsidR="00B617CB" w:rsidRPr="00377277" w:rsidRDefault="00B617CB" w:rsidP="003665E6">
      <w:pPr>
        <w:pStyle w:val="BodyA"/>
        <w:rPr>
          <w:lang w:val="en-GB"/>
        </w:rPr>
      </w:pPr>
    </w:p>
    <w:p w:rsidR="00B617CB" w:rsidRPr="00377277" w:rsidRDefault="00B617CB" w:rsidP="003665E6">
      <w:pPr>
        <w:pStyle w:val="BodyA"/>
        <w:rPr>
          <w:lang w:val="en-GB"/>
        </w:rPr>
      </w:pPr>
      <w:r w:rsidRPr="00377277">
        <w:rPr>
          <w:lang w:val="en-GB"/>
        </w:rPr>
        <w:t xml:space="preserve">With a global perspective and a focus on Palestine and Lebanon, this review is designed specifically for informing </w:t>
      </w:r>
      <w:r w:rsidR="007E7B18">
        <w:rPr>
          <w:lang w:val="en-GB"/>
        </w:rPr>
        <w:t>NAD’s</w:t>
      </w:r>
      <w:r w:rsidRPr="00377277">
        <w:rPr>
          <w:lang w:val="en-GB"/>
        </w:rPr>
        <w:t xml:space="preserve"> ongoing work and </w:t>
      </w:r>
      <w:r w:rsidR="007E7B18">
        <w:rPr>
          <w:lang w:val="en-GB"/>
        </w:rPr>
        <w:t>its</w:t>
      </w:r>
      <w:r w:rsidRPr="00377277">
        <w:rPr>
          <w:lang w:val="en-GB"/>
        </w:rPr>
        <w:t xml:space="preserve"> disability rights programme. </w:t>
      </w:r>
    </w:p>
    <w:p w:rsidR="00B617CB" w:rsidRPr="00377277" w:rsidRDefault="00B617CB" w:rsidP="003665E6">
      <w:pPr>
        <w:pStyle w:val="BodyA"/>
        <w:rPr>
          <w:lang w:val="en-GB"/>
        </w:rPr>
      </w:pPr>
    </w:p>
    <w:p w:rsidR="00B617CB" w:rsidRPr="00377277" w:rsidRDefault="00B617CB" w:rsidP="00CB1C31">
      <w:pPr>
        <w:pStyle w:val="BodyA"/>
        <w:numPr>
          <w:ilvl w:val="0"/>
          <w:numId w:val="23"/>
        </w:numPr>
        <w:spacing w:after="120"/>
        <w:ind w:left="357" w:hanging="357"/>
        <w:rPr>
          <w:lang w:val="en-GB"/>
        </w:rPr>
      </w:pPr>
      <w:r w:rsidRPr="00377277">
        <w:rPr>
          <w:lang w:val="en-GB"/>
        </w:rPr>
        <w:t>The review begins by addressing research question one and provides an overview of mental health and intellectual disability</w:t>
      </w:r>
      <w:r w:rsidR="007E7B18">
        <w:rPr>
          <w:lang w:val="en-GB"/>
        </w:rPr>
        <w:t>,</w:t>
      </w:r>
      <w:r w:rsidRPr="00377277">
        <w:rPr>
          <w:lang w:val="en-GB"/>
        </w:rPr>
        <w:t xml:space="preserve"> both generally and specific to the Palestine and Lebanon contexts. This section then goes on to present key factors identified in </w:t>
      </w:r>
      <w:r w:rsidR="007E7B18">
        <w:rPr>
          <w:lang w:val="en-GB"/>
        </w:rPr>
        <w:t xml:space="preserve">the </w:t>
      </w:r>
      <w:r w:rsidRPr="00377277">
        <w:rPr>
          <w:lang w:val="en-GB"/>
        </w:rPr>
        <w:t>literature that exacerbate the risk for these populations (Section 2. Mental health and intellectual disability in situations of risk)</w:t>
      </w:r>
      <w:r w:rsidR="007E7B18">
        <w:rPr>
          <w:lang w:val="en-GB"/>
        </w:rPr>
        <w:t>.</w:t>
      </w:r>
    </w:p>
    <w:p w:rsidR="00B617CB" w:rsidRPr="00377277" w:rsidRDefault="00B617CB" w:rsidP="00CB1C31">
      <w:pPr>
        <w:pStyle w:val="BodyA"/>
        <w:numPr>
          <w:ilvl w:val="0"/>
          <w:numId w:val="23"/>
        </w:numPr>
        <w:spacing w:after="120"/>
        <w:ind w:left="357" w:hanging="357"/>
        <w:rPr>
          <w:lang w:val="en-GB"/>
        </w:rPr>
      </w:pPr>
      <w:r w:rsidRPr="00377277">
        <w:rPr>
          <w:lang w:val="en-GB"/>
        </w:rPr>
        <w:t>In the next section</w:t>
      </w:r>
      <w:r w:rsidR="007E7B18">
        <w:rPr>
          <w:lang w:val="en-GB"/>
        </w:rPr>
        <w:t>,</w:t>
      </w:r>
      <w:r w:rsidRPr="00377277">
        <w:rPr>
          <w:lang w:val="en-GB"/>
        </w:rPr>
        <w:t xml:space="preserve"> research question</w:t>
      </w:r>
      <w:r w:rsidR="007E7B18">
        <w:rPr>
          <w:lang w:val="en-GB"/>
        </w:rPr>
        <w:t>s</w:t>
      </w:r>
      <w:r w:rsidRPr="00377277">
        <w:rPr>
          <w:lang w:val="en-GB"/>
        </w:rPr>
        <w:t xml:space="preserve"> two and three are addressed jointly. Organised according to the </w:t>
      </w:r>
      <w:r w:rsidR="007E7B18">
        <w:rPr>
          <w:lang w:val="en-GB"/>
        </w:rPr>
        <w:t xml:space="preserve">emerging </w:t>
      </w:r>
      <w:r w:rsidRPr="00377277">
        <w:rPr>
          <w:lang w:val="en-GB"/>
        </w:rPr>
        <w:t>themes that were identified in the literature, factors related to programming for DRR and humanitarian response are presented. Where examples from actors is the field were found, they are included. For each theme, innovative responses are then offered along with best practices, lessons learned and evidence where they were available (Section 3. Access to and inclusion in DRR and humanitarian response)</w:t>
      </w:r>
      <w:r w:rsidR="007E7B18">
        <w:rPr>
          <w:lang w:val="en-GB"/>
        </w:rPr>
        <w:t>.</w:t>
      </w:r>
    </w:p>
    <w:p w:rsidR="00B617CB" w:rsidRPr="00377277" w:rsidRDefault="00B617CB" w:rsidP="00CB1C31">
      <w:pPr>
        <w:pStyle w:val="BodyA"/>
        <w:numPr>
          <w:ilvl w:val="0"/>
          <w:numId w:val="23"/>
        </w:numPr>
        <w:ind w:left="360"/>
        <w:rPr>
          <w:lang w:val="en-GB"/>
        </w:rPr>
      </w:pPr>
      <w:r w:rsidRPr="00377277">
        <w:rPr>
          <w:lang w:val="en-GB"/>
        </w:rPr>
        <w:t xml:space="preserve">A conclusion draws together the key findings and lessons identified in the literature. </w:t>
      </w:r>
    </w:p>
    <w:p w:rsidR="00B617CB" w:rsidRPr="00377277" w:rsidRDefault="00B617CB" w:rsidP="003665E6">
      <w:pPr>
        <w:pStyle w:val="BodyA"/>
        <w:rPr>
          <w:lang w:val="en-GB"/>
        </w:rPr>
      </w:pPr>
    </w:p>
    <w:p w:rsidR="00B617CB" w:rsidRPr="00377277" w:rsidRDefault="00B617CB" w:rsidP="003665E6">
      <w:pPr>
        <w:pStyle w:val="NormalWeb"/>
        <w:shd w:val="clear" w:color="auto" w:fill="FFFFFF"/>
        <w:spacing w:before="0" w:beforeAutospacing="0" w:after="0" w:afterAutospacing="0" w:line="240" w:lineRule="atLeast"/>
        <w:jc w:val="both"/>
        <w:textAlignment w:val="baseline"/>
        <w:rPr>
          <w:rFonts w:ascii="Arial" w:hAnsi="Arial" w:cs="Arial"/>
          <w:color w:val="000000"/>
        </w:rPr>
      </w:pPr>
    </w:p>
    <w:p w:rsidR="007E7B18" w:rsidRDefault="007E7B18">
      <w:pPr>
        <w:spacing w:after="200" w:line="276" w:lineRule="auto"/>
        <w:rPr>
          <w:rFonts w:eastAsiaTheme="majorEastAsia" w:cstheme="majorBidi"/>
          <w:b/>
          <w:bCs/>
          <w:color w:val="002060"/>
          <w:sz w:val="28"/>
          <w:szCs w:val="26"/>
        </w:rPr>
      </w:pPr>
      <w:bookmarkStart w:id="4" w:name="_Toc500810256"/>
      <w:r>
        <w:br w:type="page"/>
      </w:r>
    </w:p>
    <w:p w:rsidR="00B617CB" w:rsidRPr="00377277" w:rsidRDefault="00B617CB" w:rsidP="003665E6">
      <w:pPr>
        <w:pStyle w:val="Heading2"/>
      </w:pPr>
      <w:r w:rsidRPr="00377277">
        <w:lastRenderedPageBreak/>
        <w:t>1.1 Key concepts</w:t>
      </w:r>
      <w:bookmarkEnd w:id="4"/>
    </w:p>
    <w:p w:rsidR="00B617CB" w:rsidRPr="00377277" w:rsidRDefault="00B617CB" w:rsidP="003665E6"/>
    <w:p w:rsidR="00B617CB" w:rsidRPr="00377277" w:rsidRDefault="00B617CB" w:rsidP="003665E6">
      <w:pPr>
        <w:pStyle w:val="Heading3"/>
      </w:pPr>
      <w:r w:rsidRPr="00377277">
        <w:t>Situations of risk</w:t>
      </w:r>
    </w:p>
    <w:p w:rsidR="00B617CB" w:rsidRPr="00377277" w:rsidRDefault="00B617CB" w:rsidP="003665E6"/>
    <w:p w:rsidR="00B617CB" w:rsidRPr="00377277" w:rsidRDefault="00B617CB" w:rsidP="003665E6">
      <w:r w:rsidRPr="00377277">
        <w:t xml:space="preserve">This review uses the terminology </w:t>
      </w:r>
      <w:r w:rsidR="007E7B18">
        <w:t>favoured by the Inter-Agency Network for Education in Emergencies (</w:t>
      </w:r>
      <w:r w:rsidRPr="00377277">
        <w:t>INEE</w:t>
      </w:r>
      <w:r w:rsidR="007E7B18">
        <w:t>),</w:t>
      </w:r>
      <w:r w:rsidRPr="00377277">
        <w:t xml:space="preserve"> where situations of risk are understood to include conflict, emergency and disaster. This is also consistent with the terminology used by the “Charter on inclusion of persons with disabilities in humanitarian action” and The Sphere</w:t>
      </w:r>
      <w:r w:rsidRPr="00377277">
        <w:rPr>
          <w:rFonts w:cs="Arial Unicode MS"/>
          <w:color w:val="000000"/>
          <w:szCs w:val="24"/>
        </w:rPr>
        <w:t xml:space="preserve"> Handbook</w:t>
      </w:r>
      <w:r w:rsidRPr="00377277">
        <w:t xml:space="preserve"> (</w:t>
      </w:r>
      <w:r w:rsidRPr="00377277">
        <w:rPr>
          <w:rFonts w:cs="Arial Unicode MS"/>
          <w:color w:val="000000"/>
          <w:szCs w:val="24"/>
        </w:rPr>
        <w:t xml:space="preserve">Humanitarian </w:t>
      </w:r>
      <w:r w:rsidR="007E7B18">
        <w:rPr>
          <w:rFonts w:cs="Arial Unicode MS"/>
          <w:color w:val="000000"/>
          <w:szCs w:val="24"/>
        </w:rPr>
        <w:t>C</w:t>
      </w:r>
      <w:r w:rsidRPr="00377277">
        <w:rPr>
          <w:rFonts w:cs="Arial Unicode MS"/>
          <w:color w:val="000000"/>
          <w:szCs w:val="24"/>
        </w:rPr>
        <w:t xml:space="preserve">harter and </w:t>
      </w:r>
      <w:r w:rsidR="007E7B18">
        <w:rPr>
          <w:rFonts w:cs="Arial Unicode MS"/>
          <w:color w:val="000000"/>
          <w:szCs w:val="24"/>
        </w:rPr>
        <w:t>M</w:t>
      </w:r>
      <w:r w:rsidRPr="00377277">
        <w:rPr>
          <w:rFonts w:cs="Arial Unicode MS"/>
          <w:color w:val="000000"/>
          <w:szCs w:val="24"/>
        </w:rPr>
        <w:t xml:space="preserve">inimum </w:t>
      </w:r>
      <w:r w:rsidR="007E7B18">
        <w:rPr>
          <w:rFonts w:cs="Arial Unicode MS"/>
          <w:color w:val="000000"/>
          <w:szCs w:val="24"/>
        </w:rPr>
        <w:t>S</w:t>
      </w:r>
      <w:r w:rsidRPr="00377277">
        <w:rPr>
          <w:rFonts w:cs="Arial Unicode MS"/>
          <w:color w:val="000000"/>
          <w:szCs w:val="24"/>
        </w:rPr>
        <w:t xml:space="preserve">tandards in </w:t>
      </w:r>
      <w:r w:rsidR="007E7B18">
        <w:rPr>
          <w:rFonts w:cs="Arial Unicode MS"/>
          <w:color w:val="000000"/>
          <w:szCs w:val="24"/>
        </w:rPr>
        <w:t>H</w:t>
      </w:r>
      <w:r w:rsidRPr="00377277">
        <w:rPr>
          <w:rFonts w:cs="Arial Unicode MS"/>
          <w:color w:val="000000"/>
          <w:szCs w:val="24"/>
        </w:rPr>
        <w:t xml:space="preserve">umanitarian </w:t>
      </w:r>
      <w:r w:rsidR="007E7B18">
        <w:rPr>
          <w:rFonts w:cs="Arial Unicode MS"/>
          <w:color w:val="000000"/>
          <w:szCs w:val="24"/>
        </w:rPr>
        <w:t>R</w:t>
      </w:r>
      <w:r w:rsidRPr="00377277">
        <w:rPr>
          <w:rFonts w:cs="Arial Unicode MS"/>
          <w:color w:val="000000"/>
          <w:szCs w:val="24"/>
        </w:rPr>
        <w:t>esponse</w:t>
      </w:r>
      <w:r w:rsidRPr="00377277">
        <w:t>).</w:t>
      </w:r>
      <w:r w:rsidRPr="00377277">
        <w:rPr>
          <w:rStyle w:val="FootnoteReference"/>
        </w:rPr>
        <w:footnoteReference w:id="4"/>
      </w:r>
    </w:p>
    <w:p w:rsidR="00B617CB" w:rsidRPr="00377277" w:rsidRDefault="00B617CB" w:rsidP="003665E6">
      <w:pPr>
        <w:pStyle w:val="NormalWeb"/>
        <w:shd w:val="clear" w:color="auto" w:fill="FFFFFF"/>
        <w:spacing w:before="0" w:beforeAutospacing="0" w:after="0" w:afterAutospacing="0" w:line="240" w:lineRule="atLeast"/>
        <w:jc w:val="both"/>
        <w:textAlignment w:val="baseline"/>
        <w:rPr>
          <w:rFonts w:ascii="Arial" w:hAnsi="Arial" w:cs="Arial"/>
          <w:color w:val="000000"/>
        </w:rPr>
      </w:pPr>
    </w:p>
    <w:p w:rsidR="00B617CB" w:rsidRPr="00377277" w:rsidRDefault="00B617CB" w:rsidP="003665E6">
      <w:pPr>
        <w:pStyle w:val="Heading3"/>
      </w:pPr>
      <w:r w:rsidRPr="00377277">
        <w:t>Mental health</w:t>
      </w:r>
    </w:p>
    <w:p w:rsidR="00B617CB" w:rsidRPr="00377277" w:rsidRDefault="00B617CB" w:rsidP="003665E6">
      <w:pPr>
        <w:pStyle w:val="BodyA"/>
        <w:rPr>
          <w:lang w:val="en-GB"/>
        </w:rPr>
      </w:pPr>
    </w:p>
    <w:p w:rsidR="00B617CB" w:rsidRPr="00377277" w:rsidRDefault="00B617CB" w:rsidP="003665E6">
      <w:pPr>
        <w:pStyle w:val="BodyA"/>
        <w:rPr>
          <w:lang w:val="en-GB"/>
        </w:rPr>
      </w:pPr>
      <w:r w:rsidRPr="00377277">
        <w:rPr>
          <w:lang w:val="en-GB"/>
        </w:rPr>
        <w:t xml:space="preserve">According to a WHO definition, mental health includes </w:t>
      </w:r>
      <w:r w:rsidR="007E7B18">
        <w:rPr>
          <w:lang w:val="en-GB"/>
        </w:rPr>
        <w:t>“</w:t>
      </w:r>
      <w:r w:rsidRPr="00377277">
        <w:rPr>
          <w:lang w:val="en-GB"/>
        </w:rPr>
        <w:t>subjective well-being, perceived self-efficacy, autonomy, competence, intergenerational dependence, and self-actualization of one</w:t>
      </w:r>
      <w:r w:rsidR="007E7B18">
        <w:rPr>
          <w:lang w:val="en-GB"/>
        </w:rPr>
        <w:t>’</w:t>
      </w:r>
      <w:r w:rsidRPr="00377277">
        <w:rPr>
          <w:lang w:val="en-GB"/>
        </w:rPr>
        <w:t>s intellectual and emotional potential, among others</w:t>
      </w:r>
      <w:r w:rsidR="007E7B18">
        <w:rPr>
          <w:lang w:val="en-GB"/>
        </w:rPr>
        <w:t>”</w:t>
      </w:r>
      <w:r w:rsidRPr="00377277">
        <w:rPr>
          <w:lang w:val="en-GB"/>
        </w:rPr>
        <w:t>.</w:t>
      </w:r>
      <w:r w:rsidRPr="00377277">
        <w:rPr>
          <w:rStyle w:val="FootnoteReference"/>
          <w:lang w:val="en-GB"/>
        </w:rPr>
        <w:footnoteReference w:id="5"/>
      </w:r>
      <w:r w:rsidRPr="00377277">
        <w:rPr>
          <w:lang w:val="en-GB"/>
        </w:rPr>
        <w:t xml:space="preserve"> The WHO further states that the well-being of an individual is encompassed in the realisation of one’s abilities, coping with normal stresses of life, productive work and contribution to our community. Furthermore, </w:t>
      </w:r>
      <w:r w:rsidR="007E7B18">
        <w:rPr>
          <w:lang w:val="en-GB"/>
        </w:rPr>
        <w:t>“</w:t>
      </w:r>
      <w:r w:rsidRPr="00377277">
        <w:rPr>
          <w:lang w:val="en-GB"/>
        </w:rPr>
        <w:t>multiple social, psychological, and biological factors determine the level of mental health of a person at any point of time</w:t>
      </w:r>
      <w:r w:rsidR="007E7B18">
        <w:rPr>
          <w:lang w:val="en-GB"/>
        </w:rPr>
        <w:t>”</w:t>
      </w:r>
      <w:r w:rsidRPr="00377277">
        <w:rPr>
          <w:lang w:val="en-GB"/>
        </w:rPr>
        <w:t>.</w:t>
      </w:r>
      <w:r w:rsidRPr="00377277">
        <w:rPr>
          <w:rStyle w:val="FootnoteReference"/>
          <w:lang w:val="en-GB"/>
        </w:rPr>
        <w:footnoteReference w:id="6"/>
      </w:r>
    </w:p>
    <w:p w:rsidR="00B617CB" w:rsidRPr="00377277" w:rsidRDefault="00B617CB" w:rsidP="003665E6">
      <w:pPr>
        <w:pStyle w:val="NormalWeb"/>
        <w:shd w:val="clear" w:color="auto" w:fill="FFFFFF"/>
        <w:spacing w:before="0" w:beforeAutospacing="0" w:after="0" w:afterAutospacing="0" w:line="240" w:lineRule="atLeast"/>
        <w:jc w:val="both"/>
        <w:textAlignment w:val="baseline"/>
        <w:rPr>
          <w:rFonts w:ascii="Arial" w:hAnsi="Arial" w:cs="Arial"/>
          <w:color w:val="000000"/>
        </w:rPr>
      </w:pPr>
    </w:p>
    <w:p w:rsidR="00B617CB" w:rsidRPr="00377277" w:rsidRDefault="00B617CB" w:rsidP="003665E6">
      <w:pPr>
        <w:pStyle w:val="Heading3"/>
      </w:pPr>
      <w:r w:rsidRPr="00377277">
        <w:t>Intellectual disability</w:t>
      </w:r>
    </w:p>
    <w:p w:rsidR="00B617CB" w:rsidRPr="00377277" w:rsidRDefault="00B617CB" w:rsidP="003665E6">
      <w:pPr>
        <w:pStyle w:val="BodyA"/>
        <w:rPr>
          <w:lang w:val="en-GB"/>
        </w:rPr>
      </w:pPr>
    </w:p>
    <w:p w:rsidR="00B617CB" w:rsidRPr="00377277" w:rsidRDefault="00B617CB" w:rsidP="003665E6">
      <w:pPr>
        <w:pStyle w:val="BodyA"/>
        <w:rPr>
          <w:b/>
          <w:bCs/>
          <w:lang w:val="en-GB"/>
        </w:rPr>
      </w:pPr>
      <w:r w:rsidRPr="00377277">
        <w:rPr>
          <w:lang w:val="en-GB"/>
        </w:rPr>
        <w:t>Intellectual disability can be understood as “a</w:t>
      </w:r>
      <w:r w:rsidRPr="00377277">
        <w:rPr>
          <w:shd w:val="clear" w:color="auto" w:fill="FFFFFF"/>
          <w:lang w:val="en-GB"/>
        </w:rPr>
        <w:t xml:space="preserve"> group of developmental conditions characteri</w:t>
      </w:r>
      <w:r w:rsidR="007E7B18">
        <w:rPr>
          <w:shd w:val="clear" w:color="auto" w:fill="FFFFFF"/>
          <w:lang w:val="en-GB"/>
        </w:rPr>
        <w:t>s</w:t>
      </w:r>
      <w:r w:rsidRPr="00377277">
        <w:rPr>
          <w:shd w:val="clear" w:color="auto" w:fill="FFFFFF"/>
          <w:lang w:val="en-GB"/>
        </w:rPr>
        <w:t>ed by significant impairment of cognitive functions, which are associated with limitations of learning, adaptive behaviour and skills”.</w:t>
      </w:r>
      <w:r w:rsidRPr="00377277">
        <w:rPr>
          <w:rStyle w:val="FootnoteReference"/>
          <w:shd w:val="clear" w:color="auto" w:fill="FFFFFF"/>
          <w:lang w:val="en-GB"/>
        </w:rPr>
        <w:footnoteReference w:id="7"/>
      </w:r>
      <w:r w:rsidRPr="00377277">
        <w:rPr>
          <w:shd w:val="clear" w:color="auto" w:fill="FFFFFF"/>
          <w:lang w:val="en-GB"/>
        </w:rPr>
        <w:t xml:space="preserve"> This definition has been put forward for the current revision of </w:t>
      </w:r>
      <w:r w:rsidR="007E7B18">
        <w:rPr>
          <w:shd w:val="clear" w:color="auto" w:fill="FFFFFF"/>
          <w:lang w:val="en-GB"/>
        </w:rPr>
        <w:t xml:space="preserve">the International Classification of Diseases, </w:t>
      </w:r>
      <w:r w:rsidRPr="00377277">
        <w:rPr>
          <w:shd w:val="clear" w:color="auto" w:fill="FFFFFF"/>
          <w:lang w:val="en-GB"/>
        </w:rPr>
        <w:t>ICD (ICD-11) by a WHO working group. They place intellectual developmental disorders under a parent category of neurodevelopmental disorders and note that there are many subcategories and degrees of severity.</w:t>
      </w:r>
    </w:p>
    <w:p w:rsidR="00B617CB" w:rsidRPr="00377277" w:rsidRDefault="00B617CB" w:rsidP="003665E6">
      <w:pPr>
        <w:rPr>
          <w:rFonts w:cs="Arial"/>
          <w:b/>
          <w:color w:val="000000"/>
        </w:rPr>
      </w:pPr>
    </w:p>
    <w:p w:rsidR="00B617CB" w:rsidRPr="00377277" w:rsidRDefault="00B617CB" w:rsidP="003665E6">
      <w:pPr>
        <w:rPr>
          <w:rFonts w:cs="Arial"/>
          <w:b/>
          <w:color w:val="000000"/>
        </w:rPr>
      </w:pPr>
    </w:p>
    <w:p w:rsidR="00B617CB" w:rsidRPr="00377277" w:rsidRDefault="00B617CB" w:rsidP="003665E6">
      <w:pPr>
        <w:pStyle w:val="Heading2"/>
      </w:pPr>
      <w:bookmarkStart w:id="5" w:name="_Toc500810257"/>
      <w:r w:rsidRPr="00377277">
        <w:t>1.2 Overview of the Palestine and Lebanon contexts</w:t>
      </w:r>
      <w:bookmarkEnd w:id="5"/>
    </w:p>
    <w:p w:rsidR="00B617CB" w:rsidRPr="00377277" w:rsidRDefault="00B617CB" w:rsidP="003665E6"/>
    <w:p w:rsidR="00B617CB" w:rsidRPr="00377277" w:rsidRDefault="00B617CB" w:rsidP="003665E6">
      <w:r w:rsidRPr="00377277">
        <w:t>Modern day conflict involves complex combinations of humanitarian crises</w:t>
      </w:r>
      <w:r w:rsidR="007E7B18">
        <w:t>,</w:t>
      </w:r>
      <w:r w:rsidRPr="00377277">
        <w:t xml:space="preserve"> including mass displacement, political, religious, and ethnic instability, food insecurity and colossal development and reconstruction needs.</w:t>
      </w:r>
      <w:r w:rsidRPr="00377277">
        <w:rPr>
          <w:rStyle w:val="FootnoteReference"/>
        </w:rPr>
        <w:footnoteReference w:id="8"/>
      </w:r>
      <w:r w:rsidRPr="00377277">
        <w:t xml:space="preserve"> Palestine and Lebanon face all of these. Climate change and seismic activity mean that Palestine is susceptible to natural disasters including floods, earthquakes, landslides, droughts and desertification.</w:t>
      </w:r>
      <w:r w:rsidRPr="00377277">
        <w:rPr>
          <w:rStyle w:val="FootnoteReference"/>
        </w:rPr>
        <w:footnoteReference w:id="9"/>
      </w:r>
      <w:r w:rsidRPr="00377277">
        <w:t xml:space="preserve"> For example, the 2013 winter storm</w:t>
      </w:r>
      <w:r w:rsidR="007E7B18">
        <w:t>,</w:t>
      </w:r>
      <w:r w:rsidRPr="00377277">
        <w:t xml:space="preserve"> Alexa</w:t>
      </w:r>
      <w:r w:rsidR="007E7B18">
        <w:t>,</w:t>
      </w:r>
      <w:r w:rsidRPr="00377277">
        <w:t xml:space="preserve"> caused extensive flooding in Gaza and damaged hundreds of houses and schools, crops and infrastructure.</w:t>
      </w:r>
      <w:r w:rsidRPr="00377277">
        <w:rPr>
          <w:rStyle w:val="FootnoteReference"/>
        </w:rPr>
        <w:footnoteReference w:id="10"/>
      </w:r>
    </w:p>
    <w:p w:rsidR="00B617CB" w:rsidRPr="00377277" w:rsidRDefault="00B617CB" w:rsidP="003665E6">
      <w:r w:rsidRPr="00377277">
        <w:lastRenderedPageBreak/>
        <w:t>Lebanon is a protracted refugee setting. It has been home to Palestinian refugees for 70 years; many Palestinians living in Lebanon were born there. Refugees from other countries in the region, including Syria and Iraq, also live in Lebanon. United Nations Relief and Works Agency (UNRWA) has operated to provide basic services for Palestinian refugees since 1950, but refugees from other countries are monitored through the UNHCR, Lebanon government, and NGOs.</w:t>
      </w:r>
    </w:p>
    <w:p w:rsidR="00B617CB" w:rsidRPr="00377277" w:rsidRDefault="00B617CB" w:rsidP="003665E6"/>
    <w:p w:rsidR="00B617CB" w:rsidRPr="00377277" w:rsidRDefault="00B617CB" w:rsidP="003665E6">
      <w:r w:rsidRPr="00377277">
        <w:t>In Palestine, the absence of political progress towards resolving the ongoing conflict, means a long-term crisis situation.</w:t>
      </w:r>
      <w:r w:rsidRPr="00377277">
        <w:rPr>
          <w:rStyle w:val="FootnoteReference"/>
        </w:rPr>
        <w:footnoteReference w:id="11"/>
      </w:r>
      <w:r w:rsidRPr="00377277">
        <w:t xml:space="preserve"> The context here is characterised by restricted movement of people, blockades preventing trade and movement of vital supplies, and frequent military attacks on civilians.</w:t>
      </w:r>
    </w:p>
    <w:p w:rsidR="00B617CB" w:rsidRPr="00377277" w:rsidRDefault="00B617CB" w:rsidP="003665E6"/>
    <w:p w:rsidR="00B617CB" w:rsidRPr="00377277" w:rsidRDefault="00B617CB" w:rsidP="003665E6">
      <w:r w:rsidRPr="00377277">
        <w:t>In both contexts there is a unique set of challenges including aid</w:t>
      </w:r>
      <w:r w:rsidR="00A97AB4">
        <w:t>-</w:t>
      </w:r>
      <w:r w:rsidRPr="00377277">
        <w:t>dependent populations, high unemployment, discrimination and restrictions in access to services, and an increased vulnerability to secondary risks including natural disasters.</w:t>
      </w:r>
      <w:r w:rsidRPr="00377277">
        <w:rPr>
          <w:rStyle w:val="FootnoteReference"/>
        </w:rPr>
        <w:footnoteReference w:id="12"/>
      </w:r>
      <w:r w:rsidRPr="00377277">
        <w:t xml:space="preserve"> In Gaza, internal political divisions have generated an energy and salary crisis. Provision of vital services, including therapies, education or other support to people with intellectual disability or mental health issues, is drastically reduced due to shortages in funding, staffing or even just the shortage of fuel to run generators.</w:t>
      </w:r>
      <w:r w:rsidRPr="00377277">
        <w:rPr>
          <w:rStyle w:val="FootnoteReference"/>
        </w:rPr>
        <w:footnoteReference w:id="13"/>
      </w:r>
      <w:r w:rsidRPr="00377277">
        <w:t xml:space="preserve"> </w:t>
      </w:r>
    </w:p>
    <w:p w:rsidR="00B617CB" w:rsidRPr="00377277" w:rsidRDefault="00B617CB" w:rsidP="003665E6"/>
    <w:p w:rsidR="00B617CB" w:rsidRPr="00377277" w:rsidRDefault="00B617CB" w:rsidP="003665E6">
      <w:r w:rsidRPr="00377277">
        <w:t>In Lebanon, the social impact of long-term aid dependency, unemployment, lack of education and apparent helplessness can contribute to mental health issues and long-term deterioration in quality of life for those with intellectual disabilities.</w:t>
      </w:r>
      <w:r w:rsidRPr="00377277">
        <w:rPr>
          <w:rStyle w:val="FootnoteReference"/>
        </w:rPr>
        <w:footnoteReference w:id="14"/>
      </w:r>
    </w:p>
    <w:p w:rsidR="00B617CB" w:rsidRPr="00377277" w:rsidRDefault="00B617CB" w:rsidP="003665E6"/>
    <w:p w:rsidR="00B617CB" w:rsidRPr="00377277" w:rsidRDefault="00B617CB" w:rsidP="003665E6">
      <w:r w:rsidRPr="00377277">
        <w:t xml:space="preserve">In both contexts the mental health systems and disability service providers face challenges with ongoing conflict, entrenched vulnerabilities and increasing mental health needs. Despite their similarities, the Lebanon and Palestine contexts have political, economic and social differences that need to be recognised when developing differentiated DRR and humanitarian responses. </w:t>
      </w:r>
      <w:r w:rsidRPr="00377277">
        <w:rPr>
          <w:rStyle w:val="None"/>
        </w:rPr>
        <w:t>Palestine is occupied territory</w:t>
      </w:r>
      <w:r w:rsidR="00A97AB4">
        <w:rPr>
          <w:rStyle w:val="None"/>
        </w:rPr>
        <w:t>,</w:t>
      </w:r>
      <w:r w:rsidRPr="00377277">
        <w:rPr>
          <w:rStyle w:val="None"/>
        </w:rPr>
        <w:t xml:space="preserve"> subject to continuous conflict and devastation and therefore continuous trauma and arrested development</w:t>
      </w:r>
      <w:r w:rsidR="00A97AB4">
        <w:rPr>
          <w:rStyle w:val="None"/>
        </w:rPr>
        <w:t>. Meanwhile</w:t>
      </w:r>
      <w:r w:rsidRPr="00377277">
        <w:rPr>
          <w:rStyle w:val="None"/>
        </w:rPr>
        <w:t>, the refugees in Lebanon are affected more by the stresses of everyday living in adverse conditions, past trauma, tensions between host and refugee populations</w:t>
      </w:r>
      <w:r w:rsidR="00A97AB4">
        <w:rPr>
          <w:rStyle w:val="None"/>
        </w:rPr>
        <w:t>,</w:t>
      </w:r>
      <w:r w:rsidRPr="00377277">
        <w:rPr>
          <w:rStyle w:val="None"/>
        </w:rPr>
        <w:t xml:space="preserve"> and subject to restrictions placed on their rights by the host country.</w:t>
      </w:r>
      <w:r w:rsidRPr="00377277">
        <w:rPr>
          <w:rStyle w:val="FootnoteReference"/>
        </w:rPr>
        <w:footnoteReference w:id="15"/>
      </w:r>
      <w:r w:rsidRPr="00377277">
        <w:rPr>
          <w:rStyle w:val="None"/>
        </w:rPr>
        <w:t xml:space="preserve"> Both contexts are undergoing mental health reform in collaboration with the WHO and other agencies in response to the refugee crisis.</w:t>
      </w:r>
      <w:r w:rsidRPr="00377277">
        <w:rPr>
          <w:rStyle w:val="FootnoteReference"/>
        </w:rPr>
        <w:footnoteReference w:id="16"/>
      </w:r>
    </w:p>
    <w:p w:rsidR="00B617CB" w:rsidRPr="00377277" w:rsidRDefault="00B617CB" w:rsidP="003665E6">
      <w:pPr>
        <w:rPr>
          <w:rFonts w:cs="Arial"/>
          <w:b/>
          <w:color w:val="000000"/>
        </w:rPr>
      </w:pPr>
    </w:p>
    <w:p w:rsidR="00B617CB" w:rsidRPr="00377277" w:rsidRDefault="00B617CB">
      <w:pPr>
        <w:spacing w:after="200" w:line="276" w:lineRule="auto"/>
        <w:rPr>
          <w:rFonts w:eastAsiaTheme="majorEastAsia" w:cstheme="majorBidi"/>
          <w:b/>
          <w:bCs/>
          <w:color w:val="002060"/>
          <w:sz w:val="32"/>
          <w:szCs w:val="28"/>
        </w:rPr>
      </w:pPr>
      <w:bookmarkStart w:id="6" w:name="_Toc500810258"/>
      <w:bookmarkStart w:id="7" w:name="_Toc414444480"/>
      <w:bookmarkStart w:id="8" w:name="_Toc452736001"/>
      <w:r w:rsidRPr="00377277">
        <w:br w:type="page"/>
      </w:r>
    </w:p>
    <w:p w:rsidR="00B617CB" w:rsidRPr="00377277" w:rsidRDefault="00B617CB" w:rsidP="003665E6">
      <w:pPr>
        <w:pStyle w:val="Heading1"/>
      </w:pPr>
      <w:r w:rsidRPr="00377277">
        <w:lastRenderedPageBreak/>
        <w:t>2. Mental health and intellectual disability in situations of risk</w:t>
      </w:r>
      <w:bookmarkEnd w:id="6"/>
    </w:p>
    <w:bookmarkEnd w:id="7"/>
    <w:bookmarkEnd w:id="8"/>
    <w:p w:rsidR="00B617CB" w:rsidRPr="00377277" w:rsidRDefault="00B617CB" w:rsidP="003665E6">
      <w:pPr>
        <w:rPr>
          <w:rFonts w:cs="Arial"/>
          <w:color w:val="000000"/>
        </w:rPr>
      </w:pPr>
    </w:p>
    <w:p w:rsidR="00B617CB" w:rsidRPr="00377277" w:rsidRDefault="00B617CB" w:rsidP="003665E6">
      <w:r w:rsidRPr="00377277">
        <w:t>Conflicts, emergencies and disasters do not discriminate. Everyone in the vicinity is affected. Nevertheless, the literature consistently highlights that those with disabilities, and particular</w:t>
      </w:r>
      <w:r w:rsidR="00A97AB4">
        <w:t>ly</w:t>
      </w:r>
      <w:r w:rsidRPr="00377277">
        <w:t xml:space="preserve"> those with intellectual disabilities and mental health issues, face higher risk and are disproportionately affected.</w:t>
      </w:r>
      <w:r w:rsidRPr="00377277">
        <w:rPr>
          <w:rStyle w:val="FootnoteReference"/>
        </w:rPr>
        <w:footnoteReference w:id="17"/>
      </w:r>
      <w:r w:rsidRPr="00377277">
        <w:t xml:space="preserve"> Available literature reveals factors that exacerbate the risk and impact for those with intellectual disabilities and mental health issues. These factors are outlined below and respond to the first research question:</w:t>
      </w:r>
    </w:p>
    <w:p w:rsidR="00B617CB" w:rsidRPr="00377277" w:rsidRDefault="00B617CB" w:rsidP="003665E6"/>
    <w:p w:rsidR="00B617CB" w:rsidRPr="00377277" w:rsidRDefault="00B617CB" w:rsidP="003665E6">
      <w:pPr>
        <w:pStyle w:val="BodyA"/>
        <w:ind w:left="720"/>
        <w:rPr>
          <w:lang w:val="en-GB"/>
        </w:rPr>
      </w:pPr>
      <w:r w:rsidRPr="00377277">
        <w:rPr>
          <w:b/>
          <w:lang w:val="en-GB"/>
        </w:rPr>
        <w:t>What do we know about persons with intellectual disabilities and persons with mental health issues in the context of conflict and crisis</w:t>
      </w:r>
      <w:r w:rsidRPr="00377277">
        <w:rPr>
          <w:lang w:val="en-GB"/>
        </w:rPr>
        <w:t>, and particular</w:t>
      </w:r>
      <w:r w:rsidR="00A97AB4">
        <w:rPr>
          <w:lang w:val="en-GB"/>
        </w:rPr>
        <w:t>ly</w:t>
      </w:r>
      <w:r w:rsidRPr="00377277">
        <w:rPr>
          <w:lang w:val="en-GB"/>
        </w:rPr>
        <w:t xml:space="preserve"> in Palestine and Lebanon? What are the factors/barriers that may contribute to disproportionate risk in the context of natural hazards and conflict? </w:t>
      </w:r>
    </w:p>
    <w:p w:rsidR="00B617CB" w:rsidRPr="00377277" w:rsidRDefault="00B617CB" w:rsidP="003665E6">
      <w:pPr>
        <w:rPr>
          <w:rFonts w:cs="Arial"/>
          <w:color w:val="000000"/>
        </w:rPr>
      </w:pPr>
    </w:p>
    <w:p w:rsidR="00B617CB" w:rsidRPr="00377277" w:rsidRDefault="00B617CB" w:rsidP="003665E6">
      <w:pPr>
        <w:rPr>
          <w:rFonts w:cs="Arial"/>
          <w:color w:val="000000"/>
        </w:rPr>
      </w:pPr>
    </w:p>
    <w:p w:rsidR="00B617CB" w:rsidRPr="00377277" w:rsidRDefault="00B617CB" w:rsidP="003665E6">
      <w:pPr>
        <w:pStyle w:val="Heading2"/>
      </w:pPr>
      <w:bookmarkStart w:id="9" w:name="_Toc452736002"/>
      <w:bookmarkStart w:id="10" w:name="_Toc452736172"/>
      <w:bookmarkStart w:id="11" w:name="_Toc500810259"/>
      <w:r w:rsidRPr="00377277">
        <w:t xml:space="preserve">2.1. </w:t>
      </w:r>
      <w:bookmarkEnd w:id="9"/>
      <w:bookmarkEnd w:id="10"/>
      <w:r w:rsidRPr="00377277">
        <w:t>Overview of mental health in situations of risk</w:t>
      </w:r>
      <w:bookmarkEnd w:id="11"/>
    </w:p>
    <w:p w:rsidR="00B617CB" w:rsidRPr="00377277" w:rsidRDefault="00B617CB" w:rsidP="003665E6"/>
    <w:p w:rsidR="00B617CB" w:rsidRPr="00377277" w:rsidRDefault="00B617CB" w:rsidP="003665E6">
      <w:pPr>
        <w:pStyle w:val="Heading4"/>
      </w:pPr>
      <w:r w:rsidRPr="00377277">
        <w:t>Pre-existing and emerging mental health issues</w:t>
      </w:r>
    </w:p>
    <w:p w:rsidR="00B617CB" w:rsidRPr="00377277" w:rsidRDefault="00B617CB" w:rsidP="003665E6">
      <w:r w:rsidRPr="00377277">
        <w:t>People living with mental health issues in situations of risk are a marginalised group. Even prior to the conflict, emergency or disaster they already face invisibility in their settings,</w:t>
      </w:r>
      <w:r w:rsidRPr="00377277">
        <w:rPr>
          <w:rStyle w:val="FootnoteReference"/>
        </w:rPr>
        <w:footnoteReference w:id="18"/>
      </w:r>
      <w:r w:rsidRPr="00377277">
        <w:t xml:space="preserve"> and are often rendered completely invisible in the response efforts.</w:t>
      </w:r>
    </w:p>
    <w:p w:rsidR="00B617CB" w:rsidRPr="00377277" w:rsidRDefault="00B617CB" w:rsidP="003665E6"/>
    <w:p w:rsidR="00B617CB" w:rsidRPr="00377277" w:rsidRDefault="00B617CB" w:rsidP="003665E6">
      <w:r w:rsidRPr="00377277">
        <w:t>In situations of risk and during the recovery period, social and psychological distress frequently results from the experienced trauma. This includes re-traumatisation of those with pre-existing mental health issues,</w:t>
      </w:r>
      <w:r w:rsidRPr="00377277">
        <w:rPr>
          <w:rStyle w:val="FootnoteReference"/>
        </w:rPr>
        <w:footnoteReference w:id="19"/>
      </w:r>
      <w:r w:rsidRPr="00377277">
        <w:t xml:space="preserve"> and new cases of crisis-induced mental illness.</w:t>
      </w:r>
      <w:r w:rsidRPr="00377277">
        <w:rPr>
          <w:rStyle w:val="FootnoteReference"/>
        </w:rPr>
        <w:footnoteReference w:id="20"/>
      </w:r>
      <w:r w:rsidRPr="00377277">
        <w:t xml:space="preserve"> According to </w:t>
      </w:r>
      <w:r w:rsidRPr="00377277">
        <w:rPr>
          <w:noProof/>
        </w:rPr>
        <w:t>UNISDR</w:t>
      </w:r>
      <w:r w:rsidR="00A97AB4">
        <w:rPr>
          <w:noProof/>
        </w:rPr>
        <w:t>,</w:t>
      </w:r>
      <w:r w:rsidRPr="00377277">
        <w:t xml:space="preserve"> there is a 10% rise in mental illness following disaster.</w:t>
      </w:r>
      <w:r w:rsidRPr="00377277">
        <w:rPr>
          <w:rStyle w:val="FootnoteReference"/>
        </w:rPr>
        <w:footnoteReference w:id="21"/>
      </w:r>
      <w:r w:rsidRPr="00377277">
        <w:t xml:space="preserve"> </w:t>
      </w:r>
    </w:p>
    <w:p w:rsidR="00B617CB" w:rsidRPr="00377277" w:rsidRDefault="00B617CB" w:rsidP="003665E6"/>
    <w:p w:rsidR="00B617CB" w:rsidRPr="00377277" w:rsidRDefault="00B617CB" w:rsidP="003665E6">
      <w:r w:rsidRPr="00377277">
        <w:t xml:space="preserve">Mental health issues can also be a result of environmental stressors and how humanitarian responses are managed. Internal displacement as well as camp settings in host countries are characterised by overcrowded, claustrophobic conditions; social isolation and separation from family, friends and community; alienation; inadequate accommodation; loss of livelihood, unemployment, and aid dependency; lack of privacy; and lack of information about food distribution and how </w:t>
      </w:r>
      <w:r w:rsidRPr="00377277">
        <w:rPr>
          <w:rStyle w:val="None"/>
        </w:rPr>
        <w:t xml:space="preserve">shelter, water and sanitation is provided. </w:t>
      </w:r>
      <w:r w:rsidRPr="00377277">
        <w:t>All these conditions have been seen to result in high levels of mental health issues, especially depression and post</w:t>
      </w:r>
      <w:r w:rsidR="00A97AB4">
        <w:t>-</w:t>
      </w:r>
      <w:r w:rsidRPr="00377277">
        <w:t>traumatic stress disorder.</w:t>
      </w:r>
      <w:r w:rsidRPr="00377277">
        <w:rPr>
          <w:rStyle w:val="FootnoteReference"/>
        </w:rPr>
        <w:footnoteReference w:id="22"/>
      </w:r>
    </w:p>
    <w:p w:rsidR="00B617CB" w:rsidRDefault="00B617CB" w:rsidP="003665E6"/>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8996"/>
      </w:tblGrid>
      <w:tr w:rsidR="00A97AB4" w:rsidTr="00A97AB4">
        <w:tc>
          <w:tcPr>
            <w:tcW w:w="9016" w:type="dxa"/>
          </w:tcPr>
          <w:p w:rsidR="00A97AB4" w:rsidRPr="003F4C37" w:rsidRDefault="00A97AB4" w:rsidP="00A97AB4">
            <w:pPr>
              <w:rPr>
                <w:lang w:val="en-US"/>
              </w:rPr>
            </w:pPr>
            <w:r w:rsidRPr="006972EE">
              <w:lastRenderedPageBreak/>
              <w:t>Of the 1.9 m people living in Gaza, 1.3 m (approximately 70%) are registered refugees</w:t>
            </w:r>
            <w:r>
              <w:t>,</w:t>
            </w:r>
            <w:r w:rsidRPr="006972EE">
              <w:t xml:space="preserve"> with over half </w:t>
            </w:r>
            <w:r>
              <w:t xml:space="preserve">a </w:t>
            </w:r>
            <w:r w:rsidRPr="006972EE">
              <w:t>million refugees living in eight recogni</w:t>
            </w:r>
            <w:r>
              <w:t>s</w:t>
            </w:r>
            <w:r w:rsidRPr="006972EE">
              <w:t xml:space="preserve">ed refugee camps with one of the highest population densities in the world. </w:t>
            </w:r>
            <w:r>
              <w:t>The Gaza Strip is one of the most densely populated places in the world, with 5,045</w:t>
            </w:r>
            <w:r w:rsidRPr="006972EE">
              <w:t xml:space="preserve"> persons per </w:t>
            </w:r>
            <w:r w:rsidRPr="006972EE">
              <w:rPr>
                <w:lang w:val="en-US"/>
              </w:rPr>
              <w:t>square kilometer</w:t>
            </w:r>
            <w:r>
              <w:rPr>
                <w:lang w:val="en-US"/>
              </w:rPr>
              <w:t xml:space="preserve"> </w:t>
            </w:r>
            <w:r>
              <w:rPr>
                <w:noProof/>
                <w:lang w:val="en-US"/>
              </w:rPr>
              <w:t>(Index Mundi, 2014)</w:t>
            </w:r>
            <w:r w:rsidRPr="006972EE">
              <w:rPr>
                <w:lang w:val="en-US"/>
              </w:rPr>
              <w:t xml:space="preserve">. </w:t>
            </w:r>
            <w:r w:rsidRPr="006972EE">
              <w:t>With a devastated economy, the World Bank reports an unemployment rate of  41%</w:t>
            </w:r>
            <w:r>
              <w:t>, despite a high level of skills and education. This is</w:t>
            </w:r>
            <w:r w:rsidRPr="006972EE">
              <w:t xml:space="preserve"> one of the highest in the world</w:t>
            </w:r>
            <w:r>
              <w:t>.</w:t>
            </w:r>
            <w:r w:rsidRPr="006972EE">
              <w:t xml:space="preserve"> </w:t>
            </w:r>
          </w:p>
          <w:p w:rsidR="00A97AB4" w:rsidRDefault="00A97AB4" w:rsidP="00A97AB4"/>
          <w:p w:rsidR="00A97AB4" w:rsidRDefault="00A97AB4" w:rsidP="00A97AB4">
            <w:r w:rsidRPr="006972EE">
              <w:t>The West Bank is home to 809,738 refugees</w:t>
            </w:r>
            <w:r>
              <w:t>,</w:t>
            </w:r>
            <w:r w:rsidRPr="006972EE">
              <w:t xml:space="preserve"> with a quarter living in 19 camps and the rest in villages and towns. </w:t>
            </w:r>
          </w:p>
          <w:p w:rsidR="00A97AB4" w:rsidRDefault="00A97AB4" w:rsidP="00A97AB4"/>
          <w:p w:rsidR="00A97AB4" w:rsidRDefault="00A97AB4" w:rsidP="003665E6">
            <w:r w:rsidRPr="006972EE">
              <w:t>In Lebanon, with over 400,000 Palestinian refugees, around 53%</w:t>
            </w:r>
            <w:r>
              <w:t>,</w:t>
            </w:r>
            <w:r w:rsidRPr="006972EE">
              <w:t xml:space="preserve"> live in 12 recogni</w:t>
            </w:r>
            <w:r>
              <w:t>s</w:t>
            </w:r>
            <w:r w:rsidRPr="006972EE">
              <w:t>ed camps</w:t>
            </w:r>
            <w:r>
              <w:t>. T</w:t>
            </w:r>
            <w:r w:rsidRPr="006972EE">
              <w:t xml:space="preserve">he rest live in rural areas or urban centres. The camps are sites of abject poverty, overcrowding, unemployment, </w:t>
            </w:r>
            <w:r>
              <w:t xml:space="preserve">and </w:t>
            </w:r>
            <w:r w:rsidRPr="006972EE">
              <w:t>poor infrastructure and h</w:t>
            </w:r>
            <w:r>
              <w:t>ousing conditions</w:t>
            </w:r>
            <w:r w:rsidRPr="006972EE">
              <w:t xml:space="preserve"> </w:t>
            </w:r>
            <w:r>
              <w:rPr>
                <w:noProof/>
              </w:rPr>
              <w:t>(UNRWA, 2015)</w:t>
            </w:r>
            <w:r>
              <w:t>.</w:t>
            </w:r>
          </w:p>
        </w:tc>
      </w:tr>
    </w:tbl>
    <w:p w:rsidR="00A97AB4" w:rsidRPr="00377277" w:rsidRDefault="00A97AB4" w:rsidP="003665E6"/>
    <w:p w:rsidR="00B617CB" w:rsidRPr="00377277" w:rsidRDefault="00B617CB" w:rsidP="003665E6">
      <w:pPr>
        <w:pStyle w:val="Heading4"/>
      </w:pPr>
      <w:r w:rsidRPr="00377277">
        <w:t>Knock-on effects</w:t>
      </w:r>
    </w:p>
    <w:p w:rsidR="00B617CB" w:rsidRPr="00377277" w:rsidRDefault="00A97AB4" w:rsidP="003665E6">
      <w:r>
        <w:t>P</w:t>
      </w:r>
      <w:r w:rsidR="00B617CB" w:rsidRPr="00377277">
        <w:t>eople experiencing mental health issues (either newly arising or pre-existing) are at risk of developing additional long-term complications if they are unable to access appropriate medical, social and economic interventions.</w:t>
      </w:r>
      <w:r w:rsidR="00B617CB" w:rsidRPr="00377277">
        <w:rPr>
          <w:rStyle w:val="FootnoteReference"/>
        </w:rPr>
        <w:footnoteReference w:id="23"/>
      </w:r>
      <w:r w:rsidR="00B617CB" w:rsidRPr="00377277">
        <w:t xml:space="preserve"> Conflicts, emergencies and disasters severely impact formal and informal supports within communities for people with mental health issues, as social structures and community networks are disrupted.</w:t>
      </w:r>
      <w:r w:rsidR="00B617CB" w:rsidRPr="00377277">
        <w:rPr>
          <w:rStyle w:val="FootnoteReference"/>
        </w:rPr>
        <w:footnoteReference w:id="24"/>
      </w:r>
      <w:r w:rsidR="00B617CB" w:rsidRPr="00377277">
        <w:t xml:space="preserve"> </w:t>
      </w:r>
    </w:p>
    <w:p w:rsidR="00B617CB" w:rsidRPr="00377277" w:rsidRDefault="00B617CB" w:rsidP="003665E6"/>
    <w:p w:rsidR="00B617CB" w:rsidRPr="00377277" w:rsidRDefault="00B617CB" w:rsidP="003665E6">
      <w:r w:rsidRPr="00377277">
        <w:rPr>
          <w:noProof/>
        </w:rPr>
        <w:t xml:space="preserve">Shehadeh </w:t>
      </w:r>
      <w:r w:rsidRPr="00377277">
        <w:t>highlights the corrosiveness of trauma on the protective effect of community resilience in Palestine.</w:t>
      </w:r>
      <w:r w:rsidRPr="00377277">
        <w:rPr>
          <w:rStyle w:val="FootnoteReference"/>
        </w:rPr>
        <w:footnoteReference w:id="25"/>
      </w:r>
      <w:r w:rsidRPr="00377277">
        <w:t xml:space="preserve"> With ongoing conflict and violence, the multigenerational transmission of trauma compounds the serious mental health risks within affected populations.</w:t>
      </w:r>
    </w:p>
    <w:p w:rsidR="00B617CB" w:rsidRPr="00377277" w:rsidRDefault="00B617CB" w:rsidP="003665E6"/>
    <w:p w:rsidR="00B617CB" w:rsidRPr="00377277" w:rsidRDefault="00B617CB" w:rsidP="003665E6">
      <w:pPr>
        <w:pStyle w:val="Heading4"/>
      </w:pPr>
      <w:r w:rsidRPr="00377277">
        <w:t>Mental health as a social issue</w:t>
      </w:r>
    </w:p>
    <w:p w:rsidR="00B617CB" w:rsidRPr="00377277" w:rsidRDefault="00B617CB" w:rsidP="003665E6">
      <w:pPr>
        <w:pStyle w:val="Body"/>
      </w:pPr>
      <w:r w:rsidRPr="00377277">
        <w:t xml:space="preserve">Mental health and psychosocial consequences of conflict, emergencies and disasters can be both psychological and social. Cautioning against a tendency to medicalise distress, particularly in the mass trauma of the Palestinian context, </w:t>
      </w:r>
      <w:r w:rsidRPr="00377277">
        <w:rPr>
          <w:noProof/>
        </w:rPr>
        <w:t xml:space="preserve">Giacaman et al. </w:t>
      </w:r>
      <w:r w:rsidRPr="00377277">
        <w:t>suggest a shift from the bio-medical individualised treatment approach.</w:t>
      </w:r>
      <w:r w:rsidRPr="00377277">
        <w:rPr>
          <w:rStyle w:val="FootnoteReference"/>
        </w:rPr>
        <w:footnoteReference w:id="26"/>
      </w:r>
      <w:r w:rsidRPr="00377277">
        <w:t xml:space="preserve"> Aligning with the social model of disability, they suggest the imperative to ask different questions of DRR planning and response. By recognising the social determinants of social suffering and distress in such contexts, addressing the lack of human security and human rights violations offers more in the way of alleviating the underlying causes of ongoing collective trauma.</w:t>
      </w:r>
    </w:p>
    <w:p w:rsidR="00B617CB" w:rsidRDefault="00B617CB" w:rsidP="003665E6">
      <w:pPr>
        <w:pStyle w:val="Body"/>
      </w:pPr>
    </w:p>
    <w:p w:rsidR="00CB1C31" w:rsidRDefault="00CB1C31" w:rsidP="003665E6">
      <w:pPr>
        <w:pStyle w:val="Body"/>
      </w:pPr>
    </w:p>
    <w:p w:rsidR="00CB1C31" w:rsidRDefault="00CB1C31" w:rsidP="003665E6">
      <w:pPr>
        <w:pStyle w:val="Body"/>
      </w:pPr>
    </w:p>
    <w:p w:rsidR="00CB1C31" w:rsidRDefault="00CB1C31" w:rsidP="003665E6">
      <w:pPr>
        <w:pStyle w:val="Body"/>
      </w:pPr>
    </w:p>
    <w:p w:rsidR="00CB1C31" w:rsidRDefault="00CB1C31" w:rsidP="003665E6">
      <w:pPr>
        <w:pStyle w:val="Body"/>
      </w:pPr>
    </w:p>
    <w:tbl>
      <w:tblPr>
        <w:tblStyle w:val="TableGrid"/>
        <w:tblW w:w="0" w:type="auto"/>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8996"/>
      </w:tblGrid>
      <w:tr w:rsidR="00A97AB4" w:rsidTr="00CB1C31">
        <w:tc>
          <w:tcPr>
            <w:tcW w:w="8996" w:type="dxa"/>
          </w:tcPr>
          <w:p w:rsidR="00A97AB4" w:rsidRDefault="00A97AB4" w:rsidP="00A97AB4">
            <w:r>
              <w:lastRenderedPageBreak/>
              <w:t>Mass trauma: The 20</w:t>
            </w:r>
            <w:r w:rsidRPr="000A5EA8">
              <w:t>1</w:t>
            </w:r>
            <w:r>
              <w:t>4 war on Gaza has been described as mass torture. An entire population experiencing sleep deprivation, horror, fear and helplessness placed them at great risk of complex mental health issues such as severe psychopathy, identity distortions, traumatic reactions with the intention of inflicting complex mental health issues.</w:t>
            </w:r>
            <w:r w:rsidRPr="000A5EA8">
              <w:t xml:space="preserve"> </w:t>
            </w:r>
            <w:r>
              <w:rPr>
                <w:noProof/>
              </w:rPr>
              <w:t>(Shehadeh, 2015)</w:t>
            </w:r>
          </w:p>
        </w:tc>
      </w:tr>
    </w:tbl>
    <w:p w:rsidR="00A97AB4" w:rsidRDefault="00A97AB4" w:rsidP="003665E6">
      <w:pPr>
        <w:pStyle w:val="Body"/>
      </w:pPr>
    </w:p>
    <w:p w:rsidR="00B617CB" w:rsidRPr="00377277" w:rsidRDefault="00B617CB" w:rsidP="003665E6">
      <w:pPr>
        <w:pStyle w:val="Heading4"/>
      </w:pPr>
      <w:r w:rsidRPr="00377277">
        <w:t>The Palestine and Lebanon context</w:t>
      </w:r>
    </w:p>
    <w:p w:rsidR="00B617CB" w:rsidRDefault="00B617CB" w:rsidP="003665E6">
      <w:r w:rsidRPr="00377277">
        <w:t>The available literature sheds some light on the situation of mental health issues in Palestine and Lebanon. On the whole, it reports the incidence to be high,</w:t>
      </w:r>
      <w:r w:rsidRPr="00377277">
        <w:rPr>
          <w:rStyle w:val="FootnoteReference"/>
        </w:rPr>
        <w:footnoteReference w:id="27"/>
      </w:r>
      <w:r w:rsidRPr="00377277">
        <w:t xml:space="preserve"> with a recent study concluding that Palestinians suffer the highest rates of mental disorders among all Eastern Mediterranean countries.</w:t>
      </w:r>
      <w:r w:rsidRPr="00377277">
        <w:rPr>
          <w:rStyle w:val="FootnoteReference"/>
        </w:rPr>
        <w:footnoteReference w:id="28"/>
      </w:r>
      <w:r w:rsidRPr="00377277">
        <w:t xml:space="preserve"> A report on refugee camp in Lebanon placed the incidence at one-third of the population.</w:t>
      </w:r>
      <w:r w:rsidRPr="00377277">
        <w:rPr>
          <w:rStyle w:val="FootnoteReference"/>
        </w:rPr>
        <w:footnoteReference w:id="29"/>
      </w:r>
    </w:p>
    <w:p w:rsidR="00A97AB4" w:rsidRDefault="00A97AB4" w:rsidP="003665E6"/>
    <w:tbl>
      <w:tblPr>
        <w:tblStyle w:val="TableGrid"/>
        <w:tblW w:w="0" w:type="auto"/>
        <w:tblLook w:val="04A0" w:firstRow="1" w:lastRow="0" w:firstColumn="1" w:lastColumn="0" w:noHBand="0" w:noVBand="1"/>
      </w:tblPr>
      <w:tblGrid>
        <w:gridCol w:w="8996"/>
      </w:tblGrid>
      <w:tr w:rsidR="00A97AB4" w:rsidTr="00A97AB4">
        <w:tc>
          <w:tcPr>
            <w:tcW w:w="9016" w:type="dxa"/>
            <w:tcBorders>
              <w:top w:val="single" w:sz="12" w:space="0" w:color="002060"/>
              <w:left w:val="single" w:sz="12" w:space="0" w:color="002060"/>
              <w:bottom w:val="single" w:sz="12" w:space="0" w:color="002060"/>
              <w:right w:val="single" w:sz="12" w:space="0" w:color="002060"/>
            </w:tcBorders>
          </w:tcPr>
          <w:p w:rsidR="00A97AB4" w:rsidRDefault="00A97AB4" w:rsidP="003665E6">
            <w:r>
              <w:t xml:space="preserve">More than 50% of Palestinian refugees in Lebanon and 85% of Palestinian refugees displaced from Syria are concerned about their inability to continue to support and protect their families. These fears were believed to potentially negatively affect their mental well-being. </w:t>
            </w:r>
            <w:r>
              <w:rPr>
                <w:noProof/>
              </w:rPr>
              <w:t>(Chaaban et al., 2016; UNWRA, 2016)</w:t>
            </w:r>
          </w:p>
        </w:tc>
      </w:tr>
    </w:tbl>
    <w:p w:rsidR="00A97AB4" w:rsidRPr="00377277" w:rsidRDefault="00A97AB4" w:rsidP="003665E6"/>
    <w:p w:rsidR="00B617CB" w:rsidRPr="00377277" w:rsidRDefault="00B617CB" w:rsidP="003665E6">
      <w:r w:rsidRPr="00377277">
        <w:t>There are those who believe no one in Gaza is exempt from the experience of mental health issues, even humanitarian staff working there.</w:t>
      </w:r>
      <w:r w:rsidRPr="00377277">
        <w:rPr>
          <w:rStyle w:val="FootnoteReference"/>
        </w:rPr>
        <w:footnoteReference w:id="30"/>
      </w:r>
      <w:r w:rsidRPr="00377277">
        <w:t xml:space="preserve"> This position, however, is strongly criticised by </w:t>
      </w:r>
      <w:r w:rsidRPr="00377277">
        <w:rPr>
          <w:noProof/>
        </w:rPr>
        <w:t xml:space="preserve">Barber and Jamei </w:t>
      </w:r>
      <w:r w:rsidRPr="00377277">
        <w:t>who assert that, in their experience as mental health professionals in Gaza, they see a community of people who, despite dire conditions, display a collective resilience beyond that ever predicted.</w:t>
      </w:r>
      <w:r w:rsidRPr="00377277">
        <w:rPr>
          <w:rStyle w:val="FootnoteReference"/>
        </w:rPr>
        <w:footnoteReference w:id="31"/>
      </w:r>
    </w:p>
    <w:p w:rsidR="00B617CB" w:rsidRPr="00377277" w:rsidRDefault="00B617CB" w:rsidP="003665E6"/>
    <w:p w:rsidR="00B617CB" w:rsidRPr="00377277" w:rsidRDefault="00B617CB" w:rsidP="003665E6"/>
    <w:p w:rsidR="00B617CB" w:rsidRPr="00377277" w:rsidRDefault="00B617CB" w:rsidP="003665E6">
      <w:pPr>
        <w:pStyle w:val="Heading2"/>
      </w:pPr>
      <w:bookmarkStart w:id="12" w:name="_Toc500810260"/>
      <w:r w:rsidRPr="00377277">
        <w:t>2.2. Overview of intellectual disability in situations of risk</w:t>
      </w:r>
      <w:bookmarkEnd w:id="12"/>
    </w:p>
    <w:p w:rsidR="00B617CB" w:rsidRPr="00377277" w:rsidRDefault="00B617CB" w:rsidP="003665E6"/>
    <w:p w:rsidR="00B617CB" w:rsidRPr="00377277" w:rsidRDefault="00B617CB" w:rsidP="003665E6">
      <w:r w:rsidRPr="00377277">
        <w:t>The complexity of intellectual disability cannot be simplified to something one has or does not have, neither is it based entirely on an underlying medical or cognitive deficiency.</w:t>
      </w:r>
      <w:r w:rsidRPr="00377277">
        <w:rPr>
          <w:rStyle w:val="FootnoteReference"/>
        </w:rPr>
        <w:footnoteReference w:id="32"/>
      </w:r>
      <w:r w:rsidRPr="00377277">
        <w:t xml:space="preserve"> Many people with mild intellectual disabilities prefer to regard their difficulties as socially constructed and common to all those with disabilities.</w:t>
      </w:r>
      <w:r w:rsidRPr="00377277">
        <w:rPr>
          <w:rStyle w:val="FootnoteReference"/>
        </w:rPr>
        <w:footnoteReference w:id="33"/>
      </w:r>
      <w:r w:rsidRPr="00377277">
        <w:t xml:space="preserve"> However, the impact of limited abstract thinking, communication difficulties and limitations in self-determination should not be overlooked. People with intellectual disabilities may rely on infrastructures and social structures for access and inclusion, and these are at risk of destruction or disruption in times of conflict, emergency or disaster. The absence of such structures could result in the acquisition of additional impairments or even be life-threatening.</w:t>
      </w:r>
      <w:r w:rsidRPr="00377277">
        <w:rPr>
          <w:rStyle w:val="FootnoteReference"/>
        </w:rPr>
        <w:footnoteReference w:id="34"/>
      </w:r>
    </w:p>
    <w:p w:rsidR="00B617CB" w:rsidRPr="00377277" w:rsidRDefault="00B617CB" w:rsidP="003665E6"/>
    <w:p w:rsidR="00B617CB" w:rsidRPr="00377277" w:rsidRDefault="00B617CB" w:rsidP="0037244E">
      <w:r w:rsidRPr="00377277">
        <w:t>Furthermore, intellectual disability is frequently (as much as 84% of the time) accompanied by additional physical disabilities or mental health issues</w:t>
      </w:r>
      <w:r w:rsidRPr="00194942">
        <w:t xml:space="preserve">. </w:t>
      </w:r>
      <w:r w:rsidR="007237E1" w:rsidRPr="00194942">
        <w:t xml:space="preserve">People with </w:t>
      </w:r>
      <w:r w:rsidR="007237E1" w:rsidRPr="00194942">
        <w:lastRenderedPageBreak/>
        <w:t xml:space="preserve">all types of disabilities have been found to face increased prevalence of mental distress when compared to the general population. </w:t>
      </w:r>
      <w:r w:rsidRPr="00194942">
        <w:t>The</w:t>
      </w:r>
      <w:r w:rsidR="0037244E" w:rsidRPr="00194942">
        <w:t xml:space="preserve"> rate at which people</w:t>
      </w:r>
      <w:r w:rsidRPr="00194942">
        <w:t xml:space="preserve"> with intellectual disability </w:t>
      </w:r>
      <w:r w:rsidR="0037244E" w:rsidRPr="00194942">
        <w:t>are also affected by</w:t>
      </w:r>
      <w:r w:rsidRPr="00194942">
        <w:t xml:space="preserve"> mental health issues is double that </w:t>
      </w:r>
      <w:r w:rsidR="0037244E" w:rsidRPr="00194942">
        <w:t xml:space="preserve">of </w:t>
      </w:r>
      <w:r w:rsidRPr="00194942">
        <w:t xml:space="preserve">people without </w:t>
      </w:r>
      <w:r w:rsidR="0037244E" w:rsidRPr="00194942">
        <w:t xml:space="preserve">intellectual </w:t>
      </w:r>
      <w:r w:rsidRPr="00194942">
        <w:t>disabilities.</w:t>
      </w:r>
      <w:r w:rsidRPr="00194942">
        <w:rPr>
          <w:rStyle w:val="FootnoteReference"/>
        </w:rPr>
        <w:footnoteReference w:id="35"/>
      </w:r>
      <w:r w:rsidRPr="00194942">
        <w:t xml:space="preserve"> Even before considering the situation of risk</w:t>
      </w:r>
      <w:r w:rsidR="003665E6" w:rsidRPr="00194942">
        <w:t xml:space="preserve"> where everyone is more vulnerable to mental health issues</w:t>
      </w:r>
      <w:r w:rsidR="008207DE" w:rsidRPr="00194942">
        <w:t>, people with intellectual disabilities face social, structural and financial disadvantage.</w:t>
      </w:r>
      <w:r w:rsidR="003665E6" w:rsidRPr="00194942">
        <w:rPr>
          <w:rStyle w:val="FootnoteReference"/>
        </w:rPr>
        <w:footnoteReference w:id="36"/>
      </w:r>
      <w:r w:rsidRPr="00377277">
        <w:t xml:space="preserve"> The barriers to access and inclusion that they face are exacerbated in times of conflict, emergency or disaster. </w:t>
      </w:r>
    </w:p>
    <w:p w:rsidR="00B617CB" w:rsidRPr="00377277" w:rsidRDefault="00B617CB" w:rsidP="003665E6"/>
    <w:p w:rsidR="00B617CB" w:rsidRPr="00377277" w:rsidRDefault="00B617CB" w:rsidP="003665E6">
      <w:r w:rsidRPr="00377277">
        <w:t>Disability overall in refugee camps in Lebanon is reported to be 22%, significantly higher than the global estimate of 15%.</w:t>
      </w:r>
      <w:r w:rsidRPr="00377277">
        <w:rPr>
          <w:rStyle w:val="FootnoteReference"/>
        </w:rPr>
        <w:footnoteReference w:id="37"/>
      </w:r>
      <w:r w:rsidRPr="00377277">
        <w:t xml:space="preserve"> Illiteracy among people with intellectual disabilities in Lebanon is said to be 78%.</w:t>
      </w:r>
      <w:r w:rsidRPr="00377277">
        <w:rPr>
          <w:rStyle w:val="FootnoteReference"/>
        </w:rPr>
        <w:footnoteReference w:id="38"/>
      </w:r>
      <w:r w:rsidRPr="00377277">
        <w:t xml:space="preserve"> In Palestine, while inclusive education activities exist, they rarely target those with intellectual disabilities.</w:t>
      </w:r>
      <w:r w:rsidRPr="00377277">
        <w:rPr>
          <w:rStyle w:val="FootnoteReference"/>
        </w:rPr>
        <w:footnoteReference w:id="39"/>
      </w:r>
      <w:r w:rsidRPr="00377277">
        <w:t xml:space="preserve"> In recent years, attitudes towards physical disability in both Palestine and Lebanon have changed, with significant resources and honour given to those who have acquired disabilities as a consequence of the conflict. However, this has increased the invisibility of those with intellectual disabilities, diverted already scant resources, and created a ‘disability hierarchy’ in which people with certain disabilities have access to more support and attention.</w:t>
      </w:r>
      <w:r w:rsidRPr="00377277">
        <w:rPr>
          <w:rStyle w:val="FootnoteReference"/>
        </w:rPr>
        <w:footnoteReference w:id="40"/>
      </w:r>
      <w:r w:rsidRPr="00377277">
        <w:t xml:space="preserve"> Attitudes towards people with intellectual disabilities remain negative and discrimination remains rife.</w:t>
      </w:r>
    </w:p>
    <w:p w:rsidR="00B617CB" w:rsidRPr="00377277" w:rsidRDefault="00B617CB" w:rsidP="003665E6">
      <w:pPr>
        <w:rPr>
          <w:u w:val="single"/>
        </w:rPr>
      </w:pPr>
    </w:p>
    <w:p w:rsidR="00B617CB" w:rsidRPr="00377277" w:rsidRDefault="00B617CB" w:rsidP="003665E6">
      <w:pPr>
        <w:rPr>
          <w:u w:val="single"/>
        </w:rPr>
      </w:pPr>
    </w:p>
    <w:p w:rsidR="00B617CB" w:rsidRPr="00377277" w:rsidRDefault="00B617CB" w:rsidP="003665E6">
      <w:pPr>
        <w:pStyle w:val="Heading2"/>
      </w:pPr>
      <w:bookmarkStart w:id="13" w:name="_Toc500810261"/>
      <w:r w:rsidRPr="00377277">
        <w:t>2.3. Disproportionate impact</w:t>
      </w:r>
      <w:bookmarkEnd w:id="13"/>
    </w:p>
    <w:p w:rsidR="00B617CB" w:rsidRPr="00377277" w:rsidRDefault="00B617CB" w:rsidP="003665E6"/>
    <w:p w:rsidR="00B617CB" w:rsidRPr="00377277" w:rsidRDefault="00B617CB" w:rsidP="003665E6">
      <w:pPr>
        <w:pStyle w:val="Heading4"/>
      </w:pPr>
      <w:r w:rsidRPr="00377277">
        <w:t>Disadvantage</w:t>
      </w:r>
    </w:p>
    <w:p w:rsidR="00B617CB" w:rsidRPr="00377277" w:rsidRDefault="00B617CB" w:rsidP="003665E6">
      <w:r w:rsidRPr="00377277">
        <w:t>Even before experiencing a situation of risk or trauma, people with intellectual disabilities or mental health issues often find themselves facing social, structural and financial disadvantages in life.</w:t>
      </w:r>
      <w:r w:rsidRPr="00377277">
        <w:rPr>
          <w:rStyle w:val="FootnoteReference"/>
        </w:rPr>
        <w:footnoteReference w:id="41"/>
      </w:r>
      <w:r w:rsidRPr="00377277">
        <w:t xml:space="preserve"> Areas of disadvantage can include access to the job market, education, political participation and cultural life, and even family and sexual rights. The impact of poverty on disability and the increased likelihood of disability being associated with poverty has been widely noted and studied,</w:t>
      </w:r>
      <w:r w:rsidRPr="00377277">
        <w:rPr>
          <w:rStyle w:val="FootnoteReference"/>
        </w:rPr>
        <w:footnoteReference w:id="42"/>
      </w:r>
      <w:r w:rsidRPr="00377277">
        <w:t xml:space="preserve"> to the point where it is believed that one-in-five of the world’s poor may be disabled.</w:t>
      </w:r>
      <w:r w:rsidRPr="00377277">
        <w:rPr>
          <w:rStyle w:val="FootnoteReference"/>
        </w:rPr>
        <w:footnoteReference w:id="43"/>
      </w:r>
    </w:p>
    <w:p w:rsidR="00B617CB" w:rsidRPr="00377277" w:rsidRDefault="00B617CB" w:rsidP="003665E6"/>
    <w:p w:rsidR="00B617CB" w:rsidRPr="00377277" w:rsidRDefault="00B617CB" w:rsidP="003665E6">
      <w:r w:rsidRPr="00377277">
        <w:t>An estimated 25% of people in Palestine are living in poverty; 80% receive ongoing aid and 87% of people with disabilities are unemployed.</w:t>
      </w:r>
      <w:r w:rsidRPr="00377277">
        <w:rPr>
          <w:rStyle w:val="FootnoteReference"/>
        </w:rPr>
        <w:footnoteReference w:id="44"/>
      </w:r>
      <w:r w:rsidRPr="00377277">
        <w:t xml:space="preserve"> With the ongoing influx of refugees in Lebanon, </w:t>
      </w:r>
      <w:r w:rsidRPr="00377277">
        <w:rPr>
          <w:noProof/>
        </w:rPr>
        <w:t>UNISDR</w:t>
      </w:r>
      <w:r w:rsidR="00194942">
        <w:rPr>
          <w:noProof/>
        </w:rPr>
        <w:t>, the UN Office for Disaster Risk Reduction,</w:t>
      </w:r>
      <w:r w:rsidRPr="00377277">
        <w:rPr>
          <w:noProof/>
        </w:rPr>
        <w:t xml:space="preserve"> </w:t>
      </w:r>
      <w:r w:rsidRPr="00377277">
        <w:t>recognises increasing rates of unemployment and poverty.</w:t>
      </w:r>
      <w:r w:rsidRPr="00377277">
        <w:rPr>
          <w:rStyle w:val="FootnoteReference"/>
        </w:rPr>
        <w:footnoteReference w:id="45"/>
      </w:r>
      <w:r w:rsidRPr="00377277">
        <w:t xml:space="preserve"> </w:t>
      </w:r>
      <w:r w:rsidRPr="00377277">
        <w:rPr>
          <w:noProof/>
        </w:rPr>
        <w:t xml:space="preserve">Wehbi </w:t>
      </w:r>
      <w:r w:rsidRPr="00377277">
        <w:t>also notes the high rates of poverty among people with disabilities in Lebanon and the associated unemployment and low levels of education.</w:t>
      </w:r>
      <w:r w:rsidRPr="00377277">
        <w:rPr>
          <w:rStyle w:val="FootnoteReference"/>
        </w:rPr>
        <w:footnoteReference w:id="46"/>
      </w:r>
      <w:r w:rsidRPr="00377277">
        <w:t xml:space="preserve"> Amongst Palestinian households in </w:t>
      </w:r>
      <w:r w:rsidRPr="00377277">
        <w:lastRenderedPageBreak/>
        <w:t>Lebanon, one</w:t>
      </w:r>
      <w:r w:rsidR="000E2EA5">
        <w:t>-</w:t>
      </w:r>
      <w:r w:rsidRPr="00377277">
        <w:t>in</w:t>
      </w:r>
      <w:r w:rsidR="000E2EA5">
        <w:t>-</w:t>
      </w:r>
      <w:r w:rsidRPr="00377277">
        <w:t>ten report at least one disabled family member. Reports confirm the strong relationship between poverty and disability in these communities. Limitations on access to and availability of rehabilitation services</w:t>
      </w:r>
      <w:r w:rsidR="000E2EA5">
        <w:t>,</w:t>
      </w:r>
      <w:r w:rsidRPr="00377277">
        <w:t xml:space="preserve"> coupled with the limited awareness of the rights and needs of persons with disabilities</w:t>
      </w:r>
      <w:r w:rsidR="000E2EA5">
        <w:t>,</w:t>
      </w:r>
      <w:r w:rsidRPr="00377277">
        <w:t xml:space="preserve"> is considered to compound the effects of marginali</w:t>
      </w:r>
      <w:r w:rsidR="000E2EA5">
        <w:t>s</w:t>
      </w:r>
      <w:r w:rsidRPr="00377277">
        <w:t>ation.</w:t>
      </w:r>
      <w:r w:rsidRPr="00377277">
        <w:rPr>
          <w:rStyle w:val="FootnoteReference"/>
        </w:rPr>
        <w:footnoteReference w:id="47"/>
      </w:r>
      <w:r w:rsidRPr="00377277">
        <w:t xml:space="preserve"> </w:t>
      </w:r>
    </w:p>
    <w:p w:rsidR="00B617CB" w:rsidRPr="00377277" w:rsidRDefault="00B617CB" w:rsidP="003665E6"/>
    <w:p w:rsidR="00B617CB" w:rsidRPr="00377277" w:rsidRDefault="00B617CB" w:rsidP="003665E6">
      <w:r w:rsidRPr="00377277">
        <w:t>When there are shortages of resources and economic difficulties, the burden of care and associated costs fall on the families of people with intellectual disabilities or mental health issues.</w:t>
      </w:r>
      <w:r w:rsidRPr="00377277">
        <w:rPr>
          <w:rStyle w:val="FootnoteReference"/>
        </w:rPr>
        <w:footnoteReference w:id="48"/>
      </w:r>
      <w:r w:rsidRPr="00377277">
        <w:t xml:space="preserve"> Furthermore, poverty renders people more vulnerable to environmental hazards and livelihood insecurity.</w:t>
      </w:r>
      <w:r w:rsidRPr="00377277">
        <w:rPr>
          <w:rStyle w:val="FootnoteReference"/>
        </w:rPr>
        <w:footnoteReference w:id="49"/>
      </w:r>
    </w:p>
    <w:p w:rsidR="00B617CB" w:rsidRPr="00377277" w:rsidRDefault="00B617CB" w:rsidP="003665E6"/>
    <w:p w:rsidR="00B617CB" w:rsidRPr="00377277" w:rsidRDefault="00B617CB" w:rsidP="003665E6">
      <w:pPr>
        <w:pStyle w:val="Heading4"/>
      </w:pPr>
      <w:r w:rsidRPr="00377277">
        <w:t>Intersecting challenges</w:t>
      </w:r>
    </w:p>
    <w:p w:rsidR="00B617CB" w:rsidRPr="00377277" w:rsidRDefault="00B617CB" w:rsidP="003665E6">
      <w:r w:rsidRPr="00377277">
        <w:t>Mental health issues and intellectual disability do not exist in isolation from other challenges. Some common co-occurring challenges and intersecting disadvantages have a cumulative impact.</w:t>
      </w:r>
    </w:p>
    <w:p w:rsidR="00B617CB" w:rsidRPr="00377277" w:rsidRDefault="00B617CB" w:rsidP="003665E6"/>
    <w:p w:rsidR="00B617CB" w:rsidRPr="00377277" w:rsidRDefault="00B617CB" w:rsidP="003665E6">
      <w:r w:rsidRPr="00377277">
        <w:t>The impact of mental health issues and intellectual disability on individuals is compounded by belonging to other marginalised or politically oppressed groups.</w:t>
      </w:r>
      <w:r w:rsidRPr="00377277">
        <w:rPr>
          <w:rStyle w:val="FootnoteReference"/>
        </w:rPr>
        <w:footnoteReference w:id="50"/>
      </w:r>
      <w:r w:rsidRPr="00377277">
        <w:t xml:space="preserve"> This can include, for instance, whether the person has other disabilities; their age (particularly if young or elderly);</w:t>
      </w:r>
      <w:r w:rsidRPr="00377277">
        <w:rPr>
          <w:rStyle w:val="FootnoteReference"/>
        </w:rPr>
        <w:footnoteReference w:id="51"/>
      </w:r>
      <w:r w:rsidRPr="00377277">
        <w:t xml:space="preserve"> gender (particularly for girls and women);</w:t>
      </w:r>
      <w:r w:rsidRPr="00377277">
        <w:rPr>
          <w:rStyle w:val="FootnoteReference"/>
        </w:rPr>
        <w:footnoteReference w:id="52"/>
      </w:r>
      <w:r w:rsidRPr="00377277">
        <w:t xml:space="preserve"> their ‘people’ group (such as whether they are from an ethnic minority, rural, or refugee community, especially in </w:t>
      </w:r>
      <w:r w:rsidR="00FC1D79">
        <w:t xml:space="preserve">the </w:t>
      </w:r>
      <w:r w:rsidRPr="00377277">
        <w:t>Lebanon environment with multi-national refugee settings);</w:t>
      </w:r>
      <w:r w:rsidRPr="00377277">
        <w:rPr>
          <w:rStyle w:val="FootnoteReference"/>
        </w:rPr>
        <w:footnoteReference w:id="53"/>
      </w:r>
      <w:r w:rsidRPr="00377277">
        <w:t xml:space="preserve"> and their sexual or gender orientation. </w:t>
      </w:r>
    </w:p>
    <w:p w:rsidR="00B617CB" w:rsidRPr="00377277" w:rsidRDefault="00B617CB" w:rsidP="003665E6"/>
    <w:p w:rsidR="00B617CB" w:rsidRPr="00377277" w:rsidRDefault="00B617CB" w:rsidP="003665E6">
      <w:pPr>
        <w:pStyle w:val="Heading4"/>
      </w:pPr>
      <w:r w:rsidRPr="00377277">
        <w:t xml:space="preserve">Marginalisation </w:t>
      </w:r>
    </w:p>
    <w:p w:rsidR="00B617CB" w:rsidRPr="00377277" w:rsidRDefault="00B617CB" w:rsidP="003665E6">
      <w:r w:rsidRPr="00377277">
        <w:t>Poverty, co-occurring impairments, and intersecting groups and the associated marginali</w:t>
      </w:r>
      <w:r w:rsidR="00FC1D79">
        <w:t>s</w:t>
      </w:r>
      <w:r w:rsidRPr="00377277">
        <w:t>ation and discrimination places people with intellectual disabilities and mental health amongst the most affected in a disaster and the least likely to receive assistance.</w:t>
      </w:r>
      <w:r w:rsidRPr="00377277">
        <w:rPr>
          <w:rStyle w:val="FootnoteReference"/>
        </w:rPr>
        <w:footnoteReference w:id="54"/>
      </w:r>
    </w:p>
    <w:p w:rsidR="00B617CB" w:rsidRPr="00377277" w:rsidRDefault="00B617CB" w:rsidP="003665E6"/>
    <w:p w:rsidR="00B617CB" w:rsidRPr="00377277" w:rsidRDefault="00B617CB" w:rsidP="003665E6">
      <w:r w:rsidRPr="00377277">
        <w:t xml:space="preserve">The first level of marginalisation often takes place when people with intellectual disabilities and mental health issues are ignored in </w:t>
      </w:r>
      <w:r w:rsidRPr="00377277">
        <w:rPr>
          <w:b/>
        </w:rPr>
        <w:t>preparedness</w:t>
      </w:r>
      <w:r w:rsidRPr="00377277">
        <w:t xml:space="preserve"> initiatives.</w:t>
      </w:r>
      <w:r w:rsidRPr="00377277">
        <w:rPr>
          <w:rStyle w:val="FootnoteReference"/>
        </w:rPr>
        <w:footnoteReference w:id="55"/>
      </w:r>
      <w:r w:rsidRPr="00377277">
        <w:t xml:space="preserve"> People with intellectual disabilities may face challenges with understanding danger, communicating with others and being understood.</w:t>
      </w:r>
      <w:r w:rsidRPr="00377277">
        <w:rPr>
          <w:rStyle w:val="FootnoteReference"/>
        </w:rPr>
        <w:footnoteReference w:id="56"/>
      </w:r>
      <w:r w:rsidRPr="00377277">
        <w:t xml:space="preserve"> Some people with mental health issues may be socially isolated or dependent on caregivers or ongoing medications. Their awareness of danger may also be late or absent, and they </w:t>
      </w:r>
      <w:r w:rsidR="00FC1D79">
        <w:t>may be</w:t>
      </w:r>
      <w:r w:rsidRPr="00377277">
        <w:t xml:space="preserve"> subject to re-traumatisation and feelings of helplessness in the face of disasters or emergencies.</w:t>
      </w:r>
      <w:r w:rsidRPr="00377277">
        <w:rPr>
          <w:rStyle w:val="FootnoteReference"/>
        </w:rPr>
        <w:footnoteReference w:id="57"/>
      </w:r>
    </w:p>
    <w:p w:rsidR="00B617CB" w:rsidRPr="00377277" w:rsidRDefault="00B617CB" w:rsidP="003665E6"/>
    <w:p w:rsidR="00B617CB" w:rsidRPr="00377277" w:rsidRDefault="00B617CB" w:rsidP="003665E6">
      <w:r w:rsidRPr="00377277">
        <w:lastRenderedPageBreak/>
        <w:t>When these challenges are not carefully considered and planned for, a situation of risk is more likely to become life-threatening.</w:t>
      </w:r>
      <w:r w:rsidRPr="00377277">
        <w:rPr>
          <w:rStyle w:val="FootnoteReference"/>
        </w:rPr>
        <w:footnoteReference w:id="58"/>
      </w:r>
      <w:r w:rsidRPr="00377277">
        <w:t xml:space="preserve"> Indeed, the mortality rate in emergencies for people with disabilities is two to four times higher than for those without disabilities.</w:t>
      </w:r>
      <w:r w:rsidRPr="00377277">
        <w:rPr>
          <w:rStyle w:val="FootnoteReference"/>
        </w:rPr>
        <w:footnoteReference w:id="59"/>
      </w:r>
      <w:r w:rsidRPr="00377277">
        <w:t xml:space="preserve"> Survivors face the further risks of injury, starvation, disease, abandonment, and abuse.</w:t>
      </w:r>
      <w:r w:rsidRPr="00377277">
        <w:rPr>
          <w:rStyle w:val="FootnoteReference"/>
        </w:rPr>
        <w:footnoteReference w:id="60"/>
      </w:r>
    </w:p>
    <w:p w:rsidR="00B617CB" w:rsidRPr="00377277" w:rsidRDefault="00B617CB" w:rsidP="003665E6">
      <w:pPr>
        <w:rPr>
          <w:rStyle w:val="None"/>
        </w:rPr>
      </w:pPr>
    </w:p>
    <w:p w:rsidR="00B617CB" w:rsidRPr="00377277" w:rsidRDefault="00B617CB" w:rsidP="003665E6">
      <w:r w:rsidRPr="00377277">
        <w:t xml:space="preserve">The next level of marginalisation takes place when people are overlooked in the </w:t>
      </w:r>
      <w:r w:rsidRPr="00377277">
        <w:rPr>
          <w:b/>
        </w:rPr>
        <w:t>response</w:t>
      </w:r>
      <w:r w:rsidRPr="00377277">
        <w:t xml:space="preserve"> to conflict, emergency or disaster. They can simply be ignored or be the last to access resources.</w:t>
      </w:r>
      <w:r w:rsidRPr="00377277">
        <w:rPr>
          <w:rStyle w:val="FootnoteReference"/>
        </w:rPr>
        <w:footnoteReference w:id="61"/>
      </w:r>
      <w:r w:rsidRPr="00377277">
        <w:t xml:space="preserve"> Plans and programmes to recover and regain livelihoods often neglect the specific needs of people with intellectual disabilities and mental health issues, or are exclusionary in nature.</w:t>
      </w:r>
      <w:r w:rsidRPr="00377277">
        <w:rPr>
          <w:rStyle w:val="FootnoteReference"/>
        </w:rPr>
        <w:footnoteReference w:id="62"/>
      </w:r>
      <w:r w:rsidRPr="00377277">
        <w:t xml:space="preserve"> Leaving people without the resources, medicine and appropriate interventions they need can have wide-reaching and long-term consequences. These can include deterioration of existing conditions, acquisition of additional impairment or health issues, further mental health issues, isolation</w:t>
      </w:r>
      <w:r w:rsidR="00FC1D79">
        <w:t>,</w:t>
      </w:r>
      <w:r w:rsidRPr="00377277">
        <w:t xml:space="preserve"> and a loss of livelihood.</w:t>
      </w:r>
      <w:r w:rsidRPr="00377277">
        <w:rPr>
          <w:rStyle w:val="FootnoteReference"/>
        </w:rPr>
        <w:footnoteReference w:id="63"/>
      </w:r>
    </w:p>
    <w:p w:rsidR="00B617CB" w:rsidRPr="00377277" w:rsidRDefault="00B617CB" w:rsidP="003665E6"/>
    <w:p w:rsidR="00B617CB" w:rsidRPr="00377277" w:rsidRDefault="00B617CB" w:rsidP="003665E6">
      <w:r w:rsidRPr="00377277">
        <w:t>It is important to note that many people with mild intellectual disabilities reject the notion that they are inherently ‘vulnerable’.</w:t>
      </w:r>
      <w:r w:rsidRPr="00377277">
        <w:rPr>
          <w:rStyle w:val="FootnoteReference"/>
        </w:rPr>
        <w:footnoteReference w:id="64"/>
      </w:r>
      <w:r w:rsidRPr="00377277">
        <w:t xml:space="preserve"> Viewing vulnerability through the lens of the social model of disability recognises the social barriers and low value that society assigns to people with intellectual disabilities.</w:t>
      </w:r>
      <w:r w:rsidRPr="00377277">
        <w:rPr>
          <w:rStyle w:val="FootnoteReference"/>
        </w:rPr>
        <w:footnoteReference w:id="65"/>
      </w:r>
      <w:r w:rsidRPr="00377277">
        <w:t xml:space="preserve"> People facing mental health issues are also largely misunderstood and face stigma and associated discrimination.</w:t>
      </w:r>
      <w:r w:rsidRPr="00377277">
        <w:rPr>
          <w:rStyle w:val="FootnoteReference"/>
        </w:rPr>
        <w:footnoteReference w:id="66"/>
      </w:r>
      <w:r w:rsidRPr="00377277">
        <w:t xml:space="preserve"> </w:t>
      </w:r>
    </w:p>
    <w:p w:rsidR="00B617CB" w:rsidRPr="00377277" w:rsidRDefault="00B617CB" w:rsidP="003665E6"/>
    <w:p w:rsidR="00B617CB" w:rsidRPr="00377277" w:rsidRDefault="00B617CB" w:rsidP="003665E6">
      <w:r w:rsidRPr="00377277">
        <w:t>Any marginalisation or oppression that already exists is exacerbated in situations of risk.</w:t>
      </w:r>
      <w:r w:rsidRPr="00377277">
        <w:rPr>
          <w:rStyle w:val="FootnoteReference"/>
        </w:rPr>
        <w:footnoteReference w:id="67"/>
      </w:r>
      <w:r w:rsidRPr="00377277">
        <w:t xml:space="preserve"> This type of discrimination can be life-threatening, can result in increased vulnerability, and as a whole, places people with intellectual disabilities and mental health </w:t>
      </w:r>
      <w:r w:rsidR="00FC1D79">
        <w:t xml:space="preserve">issues </w:t>
      </w:r>
      <w:r w:rsidRPr="00377277">
        <w:t>at an extreme and disproportionate disadvantage. Conflicts, emergencies and disasters are predominately negative for all involved, but significantly more so for people with intellectual disabilities or mental health issues.</w:t>
      </w:r>
      <w:r w:rsidRPr="00377277">
        <w:rPr>
          <w:rStyle w:val="FootnoteReference"/>
        </w:rPr>
        <w:footnoteReference w:id="68"/>
      </w:r>
      <w:r w:rsidRPr="00377277">
        <w:t xml:space="preserve"> However, the social model draws our focus to the </w:t>
      </w:r>
      <w:r w:rsidRPr="00377277">
        <w:rPr>
          <w:i/>
        </w:rPr>
        <w:t>disproportionate marginalisation</w:t>
      </w:r>
      <w:r w:rsidRPr="00377277">
        <w:t xml:space="preserve"> in situations of risk, rather than a focus on </w:t>
      </w:r>
      <w:r w:rsidRPr="00377277">
        <w:rPr>
          <w:i/>
        </w:rPr>
        <w:t>disproportionate vulnerability</w:t>
      </w:r>
      <w:r w:rsidRPr="00377277">
        <w:t xml:space="preserve"> of individuals.</w:t>
      </w:r>
    </w:p>
    <w:p w:rsidR="00B617CB" w:rsidRPr="00377277" w:rsidRDefault="00B617CB" w:rsidP="003665E6">
      <w:pPr>
        <w:rPr>
          <w:rFonts w:cs="Arial"/>
          <w:color w:val="000000"/>
        </w:rPr>
      </w:pPr>
    </w:p>
    <w:p w:rsidR="00B617CB" w:rsidRPr="00377277" w:rsidRDefault="00B617CB">
      <w:pPr>
        <w:spacing w:after="200" w:line="276" w:lineRule="auto"/>
        <w:rPr>
          <w:rFonts w:eastAsiaTheme="majorEastAsia" w:cstheme="majorBidi"/>
          <w:b/>
          <w:bCs/>
          <w:color w:val="002060"/>
          <w:sz w:val="32"/>
          <w:szCs w:val="28"/>
        </w:rPr>
      </w:pPr>
      <w:r w:rsidRPr="00377277">
        <w:br w:type="page"/>
      </w:r>
    </w:p>
    <w:p w:rsidR="00B617CB" w:rsidRPr="00377277" w:rsidRDefault="00B617CB" w:rsidP="003665E6">
      <w:pPr>
        <w:pStyle w:val="Heading1"/>
      </w:pPr>
      <w:bookmarkStart w:id="14" w:name="_Toc500810262"/>
      <w:r w:rsidRPr="00377277">
        <w:lastRenderedPageBreak/>
        <w:t>3. Access to and inclusion in DRR and humanitarian response</w:t>
      </w:r>
      <w:bookmarkEnd w:id="14"/>
    </w:p>
    <w:p w:rsidR="00B617CB" w:rsidRPr="00377277" w:rsidRDefault="00B617CB" w:rsidP="003665E6">
      <w:pPr>
        <w:rPr>
          <w:rFonts w:cs="Arial"/>
          <w:color w:val="000000"/>
        </w:rPr>
      </w:pPr>
    </w:p>
    <w:p w:rsidR="00B617CB" w:rsidRPr="00377277" w:rsidRDefault="00B617CB" w:rsidP="003665E6">
      <w:r w:rsidRPr="00377277">
        <w:t>Vast amounts of evidence exist about what to do in and after situations of conflict, emergency and disaster.</w:t>
      </w:r>
      <w:r w:rsidRPr="00377277">
        <w:rPr>
          <w:rStyle w:val="FootnoteReference"/>
        </w:rPr>
        <w:footnoteReference w:id="69"/>
      </w:r>
      <w:r w:rsidRPr="00377277">
        <w:t xml:space="preserve"> Numerous guidelines for disability inclusion in humanitarian response and DRR have been developed and implemented.</w:t>
      </w:r>
      <w:r w:rsidRPr="00377277">
        <w:rPr>
          <w:rStyle w:val="FootnoteReference"/>
        </w:rPr>
        <w:footnoteReference w:id="70"/>
      </w:r>
      <w:r w:rsidRPr="00377277">
        <w:t xml:space="preserve"> Intellectual disability and mental health issues are explicitly included in many of these, and in some cases guidelines exist specifically for mental health</w:t>
      </w:r>
      <w:r w:rsidRPr="00377277">
        <w:rPr>
          <w:rStyle w:val="FootnoteReference"/>
        </w:rPr>
        <w:footnoteReference w:id="71"/>
      </w:r>
      <w:r w:rsidRPr="00377277">
        <w:t xml:space="preserve"> or intellectual disability.</w:t>
      </w:r>
      <w:r w:rsidRPr="00377277">
        <w:rPr>
          <w:rStyle w:val="FootnoteReference"/>
        </w:rPr>
        <w:footnoteReference w:id="72"/>
      </w:r>
      <w:r w:rsidRPr="00377277">
        <w:t xml:space="preserve"> In general, the basic know-how for including people with all types of impairments is readily available. The pressing question is what barriers persist, and what measures need to be taken to ensure that people with intellectual disability and mental health issues are accessing and benefiting from this know-how.</w:t>
      </w:r>
    </w:p>
    <w:p w:rsidR="00B617CB" w:rsidRPr="00377277" w:rsidRDefault="00B617CB" w:rsidP="003665E6"/>
    <w:p w:rsidR="00B617CB" w:rsidRPr="00377277" w:rsidRDefault="00B617CB" w:rsidP="003665E6">
      <w:pPr>
        <w:pStyle w:val="BodyA"/>
        <w:rPr>
          <w:lang w:val="en-GB"/>
        </w:rPr>
      </w:pPr>
      <w:r w:rsidRPr="00377277">
        <w:rPr>
          <w:lang w:val="en-GB"/>
        </w:rPr>
        <w:t xml:space="preserve">The following sections of this </w:t>
      </w:r>
      <w:r w:rsidR="00FC1D79">
        <w:rPr>
          <w:lang w:val="en-GB"/>
        </w:rPr>
        <w:t xml:space="preserve">literature </w:t>
      </w:r>
      <w:r w:rsidRPr="00377277">
        <w:rPr>
          <w:lang w:val="en-GB"/>
        </w:rPr>
        <w:t xml:space="preserve">review will consider in more detail some important factors contributing to marginalisation in DRR and humanitarian action, both at global levels and in relation to the Palestinian and Lebanon settings, where the information is available. This responds to the second research question: </w:t>
      </w:r>
    </w:p>
    <w:p w:rsidR="00B617CB" w:rsidRPr="00377277" w:rsidRDefault="00B617CB" w:rsidP="00FC1D79"/>
    <w:p w:rsidR="00B617CB" w:rsidRPr="00377277" w:rsidRDefault="00B617CB" w:rsidP="003665E6">
      <w:pPr>
        <w:pStyle w:val="BodyA"/>
        <w:ind w:left="720"/>
        <w:rPr>
          <w:lang w:val="en-GB"/>
        </w:rPr>
      </w:pPr>
      <w:r w:rsidRPr="00377277">
        <w:rPr>
          <w:b/>
          <w:lang w:val="en-GB"/>
        </w:rPr>
        <w:t>What are the protection/prevention and inclusion/exclusion factors to consider in programming for DRR and humanitarian response?</w:t>
      </w:r>
      <w:r w:rsidRPr="00377277">
        <w:rPr>
          <w:lang w:val="en-GB"/>
        </w:rPr>
        <w:t xml:space="preserve"> How does that relate to what other actors are doing in the field? Where are the gaps? </w:t>
      </w:r>
    </w:p>
    <w:p w:rsidR="00B617CB" w:rsidRPr="00377277" w:rsidRDefault="00B617CB" w:rsidP="003665E6">
      <w:pPr>
        <w:pStyle w:val="BodyA"/>
        <w:ind w:left="720"/>
        <w:rPr>
          <w:lang w:val="en-GB"/>
        </w:rPr>
      </w:pPr>
    </w:p>
    <w:p w:rsidR="00B617CB" w:rsidRPr="00377277" w:rsidRDefault="00B617CB" w:rsidP="003665E6">
      <w:r w:rsidRPr="00377277">
        <w:t>Each section will also present any findings related to the same factor with regards to best practices and lessons learned. Some of these findings are presented in text boxes where they are more detailed examples. This is in response to the third research question:</w:t>
      </w:r>
    </w:p>
    <w:p w:rsidR="00B617CB" w:rsidRPr="00377277" w:rsidRDefault="00B617CB" w:rsidP="003665E6">
      <w:pPr>
        <w:pStyle w:val="BodyA"/>
        <w:rPr>
          <w:b/>
          <w:lang w:val="en-GB"/>
        </w:rPr>
      </w:pPr>
    </w:p>
    <w:p w:rsidR="00B617CB" w:rsidRPr="00377277" w:rsidRDefault="00B617CB" w:rsidP="003665E6">
      <w:pPr>
        <w:pStyle w:val="BodyA"/>
        <w:ind w:left="720"/>
        <w:rPr>
          <w:lang w:val="en-GB"/>
        </w:rPr>
      </w:pPr>
      <w:r w:rsidRPr="00377277">
        <w:rPr>
          <w:b/>
          <w:lang w:val="en-GB"/>
        </w:rPr>
        <w:t xml:space="preserve">What are the best practices, lessons learned and/or evidence </w:t>
      </w:r>
      <w:r w:rsidRPr="00377277">
        <w:rPr>
          <w:lang w:val="en-GB"/>
        </w:rPr>
        <w:t xml:space="preserve">from DRR planning and humanitarian efforts (across all sectors) in the local and international contexts that can be drawn upon to inform next steps for NAD. How can we engage in innovative ways with refugee/internally displaced communities to draw on assets and resources to build resilience? </w:t>
      </w:r>
    </w:p>
    <w:p w:rsidR="00B617CB" w:rsidRPr="00377277" w:rsidRDefault="00B617CB" w:rsidP="003665E6"/>
    <w:p w:rsidR="00B617CB" w:rsidRDefault="00B617CB" w:rsidP="003665E6">
      <w:r w:rsidRPr="00377277">
        <w:t>People with intellectual disabilities and mental health issues are diverse and complex like any other group in society. There are many issues they face that overlap with disability inclusion in general, and indeed, often with the inclusion of any marginalised group. Due to the time constraints, the focus of this review will be limited to the factors found in the literature that are significant to the inclusion needs of the specific target population.</w:t>
      </w:r>
    </w:p>
    <w:p w:rsidR="00FC1D79" w:rsidRPr="00377277" w:rsidRDefault="00FC1D79" w:rsidP="003665E6"/>
    <w:p w:rsidR="00B617CB" w:rsidRPr="00377277" w:rsidRDefault="00B617CB" w:rsidP="003665E6"/>
    <w:p w:rsidR="00B617CB" w:rsidRPr="00377277" w:rsidRDefault="00B617CB" w:rsidP="003665E6">
      <w:pPr>
        <w:pStyle w:val="Heading2"/>
      </w:pPr>
      <w:bookmarkStart w:id="15" w:name="_Toc500810263"/>
      <w:r w:rsidRPr="00377277">
        <w:lastRenderedPageBreak/>
        <w:t>3.1 Individual capacity</w:t>
      </w:r>
      <w:bookmarkEnd w:id="15"/>
    </w:p>
    <w:p w:rsidR="00B617CB" w:rsidRPr="00377277" w:rsidRDefault="00B617CB" w:rsidP="003665E6">
      <w:pPr>
        <w:keepNext/>
      </w:pPr>
    </w:p>
    <w:p w:rsidR="00B617CB" w:rsidRPr="00377277" w:rsidRDefault="00B617CB" w:rsidP="003665E6">
      <w:r w:rsidRPr="00377277">
        <w:t>Beliefs surrounding individual capacity are a significant barrier to inclusion in DRR and humanitarian response for people with intellectual disabilities or mental health issues. On the whole</w:t>
      </w:r>
      <w:r w:rsidR="00FC1D79">
        <w:t>,</w:t>
      </w:r>
      <w:r w:rsidRPr="00377277">
        <w:t xml:space="preserve"> there is a view that some individuals are incapable and unable to live independently or contribute to society.</w:t>
      </w:r>
      <w:r w:rsidRPr="00377277">
        <w:rPr>
          <w:rStyle w:val="FootnoteReference"/>
        </w:rPr>
        <w:footnoteReference w:id="73"/>
      </w:r>
      <w:r w:rsidRPr="00377277">
        <w:t xml:space="preserve"> People with intellectual disabilities or mental health issues often have trouble expressing themselves and understanding others, and may experience unsatisfactory social relationships, and this is often assumed to be evidence of their lack of capacity.</w:t>
      </w:r>
      <w:r w:rsidRPr="00377277">
        <w:rPr>
          <w:rStyle w:val="FootnoteReference"/>
        </w:rPr>
        <w:footnoteReference w:id="74"/>
      </w:r>
    </w:p>
    <w:p w:rsidR="00B617CB" w:rsidRPr="00377277" w:rsidRDefault="00B617CB" w:rsidP="003665E6">
      <w:pPr>
        <w:ind w:left="720"/>
      </w:pPr>
    </w:p>
    <w:p w:rsidR="00B617CB" w:rsidRPr="00377277" w:rsidRDefault="00B617CB" w:rsidP="003665E6">
      <w:pPr>
        <w:ind w:left="720"/>
        <w:rPr>
          <w:rFonts w:ascii="Arial Narrow" w:hAnsi="Arial Narrow"/>
        </w:rPr>
      </w:pPr>
      <w:r w:rsidRPr="00377277">
        <w:rPr>
          <w:rFonts w:ascii="Arial Narrow" w:hAnsi="Arial Narrow"/>
        </w:rPr>
        <w:t>Defined and judged by what they lack, rather than what they have, [children with disabilities] experience widespread violations of their rights that result not from the intrinsic nature of disability but from the social exclusion that arises from it.</w:t>
      </w:r>
      <w:r w:rsidRPr="00377277">
        <w:rPr>
          <w:rStyle w:val="FootnoteReference"/>
          <w:rFonts w:ascii="Arial Narrow" w:hAnsi="Arial Narrow"/>
        </w:rPr>
        <w:footnoteReference w:id="75"/>
      </w:r>
      <w:r w:rsidRPr="00377277">
        <w:rPr>
          <w:rFonts w:ascii="Arial Narrow" w:hAnsi="Arial Narrow"/>
        </w:rPr>
        <w:t xml:space="preserve"> </w:t>
      </w:r>
    </w:p>
    <w:p w:rsidR="00B617CB" w:rsidRPr="00377277" w:rsidRDefault="00B617CB" w:rsidP="003665E6"/>
    <w:p w:rsidR="00B617CB" w:rsidRPr="00377277" w:rsidRDefault="00B617CB" w:rsidP="003665E6">
      <w:pPr>
        <w:pStyle w:val="Heading4"/>
      </w:pPr>
      <w:r w:rsidRPr="00377277">
        <w:t>Passive recipients</w:t>
      </w:r>
    </w:p>
    <w:p w:rsidR="00B617CB" w:rsidRPr="00377277" w:rsidRDefault="00B617CB" w:rsidP="003665E6">
      <w:r w:rsidRPr="00377277">
        <w:t>In many cases, the provision of humanitarian aid makes assumptions about people’s needs, effectively disempowering individuals and denying them a voice.</w:t>
      </w:r>
      <w:r w:rsidRPr="00377277">
        <w:rPr>
          <w:rStyle w:val="FootnoteReference"/>
        </w:rPr>
        <w:footnoteReference w:id="76"/>
      </w:r>
      <w:r w:rsidRPr="00377277">
        <w:t xml:space="preserve"> Denying or ignoring capabilities is noted by many</w:t>
      </w:r>
      <w:r w:rsidRPr="00377277">
        <w:rPr>
          <w:rStyle w:val="FootnoteReference"/>
        </w:rPr>
        <w:footnoteReference w:id="77"/>
      </w:r>
      <w:r w:rsidRPr="00377277">
        <w:t xml:space="preserve"> to lead to the internalisation of these barriers. This sense of inferiority and lack of value can result in confidence being undermined and aspirations being suppressed, leading to sense of helplessness.</w:t>
      </w:r>
      <w:r w:rsidRPr="00377277">
        <w:rPr>
          <w:rStyle w:val="FootnoteReference"/>
        </w:rPr>
        <w:footnoteReference w:id="78"/>
      </w:r>
      <w:r w:rsidRPr="00377277">
        <w:t xml:space="preserve"> Within the culture of Palestine, the silence of children with intellectual disabilities is considered the most profound. This results from a multifaceted situation of the silence of children, the silence of people with disabilities</w:t>
      </w:r>
      <w:r w:rsidR="00FC1D79">
        <w:t>,</w:t>
      </w:r>
      <w:r w:rsidRPr="00377277">
        <w:t xml:space="preserve"> and the stigma associated with intellectual disability.</w:t>
      </w:r>
      <w:r w:rsidRPr="00377277">
        <w:rPr>
          <w:rStyle w:val="FootnoteReference"/>
        </w:rPr>
        <w:footnoteReference w:id="79"/>
      </w:r>
    </w:p>
    <w:p w:rsidR="00B617CB" w:rsidRPr="00377277" w:rsidRDefault="00B617CB" w:rsidP="003665E6"/>
    <w:p w:rsidR="00B617CB" w:rsidRPr="00377277" w:rsidRDefault="00B617CB" w:rsidP="003665E6">
      <w:r w:rsidRPr="00377277">
        <w:t>Those experiencing situations of conflict, emergency or disaster should not be considered merely passive recipients of aid. Where this is happening, it should be challenged and changed.</w:t>
      </w:r>
      <w:r w:rsidRPr="00377277">
        <w:rPr>
          <w:rStyle w:val="FootnoteReference"/>
        </w:rPr>
        <w:footnoteReference w:id="80"/>
      </w:r>
      <w:r w:rsidRPr="00377277">
        <w:t xml:space="preserve"> People with diverse disabilities have capabilities, experience and skills.</w:t>
      </w:r>
      <w:r w:rsidRPr="00377277">
        <w:rPr>
          <w:rStyle w:val="FootnoteReference"/>
        </w:rPr>
        <w:footnoteReference w:id="81"/>
      </w:r>
      <w:r w:rsidRPr="00377277">
        <w:t xml:space="preserve"> Citing historical examples, </w:t>
      </w:r>
      <w:r w:rsidRPr="00377277">
        <w:rPr>
          <w:noProof/>
        </w:rPr>
        <w:t xml:space="preserve">Grove, Grove, </w:t>
      </w:r>
      <w:r w:rsidR="00FC1D79">
        <w:rPr>
          <w:noProof/>
        </w:rPr>
        <w:t>and</w:t>
      </w:r>
      <w:r w:rsidRPr="00377277">
        <w:rPr>
          <w:noProof/>
        </w:rPr>
        <w:t xml:space="preserve"> Myerscough </w:t>
      </w:r>
      <w:r w:rsidRPr="00377277">
        <w:t xml:space="preserve">point out that people with intellectual disabilities are not necessarily helpless in situations of risk. Examples include joining the army, </w:t>
      </w:r>
      <w:r w:rsidR="00FC1D79">
        <w:t xml:space="preserve">and </w:t>
      </w:r>
      <w:r w:rsidRPr="00377277">
        <w:t>contributing to humanitarian efforts and rebuilding.</w:t>
      </w:r>
      <w:r w:rsidRPr="00377277">
        <w:rPr>
          <w:rStyle w:val="FootnoteReference"/>
        </w:rPr>
        <w:footnoteReference w:id="82"/>
      </w:r>
    </w:p>
    <w:p w:rsidR="00B617CB" w:rsidRPr="00377277" w:rsidRDefault="00B617CB" w:rsidP="003665E6"/>
    <w:p w:rsidR="00B617CB" w:rsidRPr="00377277" w:rsidRDefault="00B617CB" w:rsidP="003665E6">
      <w:pPr>
        <w:pStyle w:val="Heading4"/>
      </w:pPr>
      <w:r w:rsidRPr="00377277">
        <w:t>Resilience</w:t>
      </w:r>
    </w:p>
    <w:p w:rsidR="00B617CB" w:rsidRPr="00377277" w:rsidRDefault="00B617CB" w:rsidP="003665E6">
      <w:r w:rsidRPr="00377277">
        <w:t>While the importance of individual resilience is frequently mentioned in relation to DRR,</w:t>
      </w:r>
      <w:r w:rsidRPr="00377277">
        <w:rPr>
          <w:rStyle w:val="FootnoteReference"/>
        </w:rPr>
        <w:footnoteReference w:id="83"/>
      </w:r>
      <w:r w:rsidRPr="00377277">
        <w:t xml:space="preserve"> there is also increasing recognition of the social model understanding of resilience.</w:t>
      </w:r>
      <w:r w:rsidRPr="00377277">
        <w:rPr>
          <w:rStyle w:val="FootnoteReference"/>
        </w:rPr>
        <w:footnoteReference w:id="84"/>
      </w:r>
      <w:r w:rsidRPr="00377277">
        <w:t xml:space="preserve"> This involves a move away from individual indicators of vulnerability, </w:t>
      </w:r>
      <w:r w:rsidRPr="00377277">
        <w:lastRenderedPageBreak/>
        <w:t>capability and resilience to a consideration of wider social and structural barriers rendering people vulnerable. Resilience then becomes a community-level concern</w:t>
      </w:r>
      <w:r w:rsidR="00FC1D79">
        <w:t>.</w:t>
      </w:r>
      <w:r w:rsidRPr="00377277">
        <w:rPr>
          <w:rStyle w:val="FootnoteReference"/>
        </w:rPr>
        <w:footnoteReference w:id="85"/>
      </w:r>
      <w:r w:rsidRPr="00377277">
        <w:t xml:space="preserve"> For example, in the context of Palestine, </w:t>
      </w:r>
      <w:r w:rsidRPr="00377277">
        <w:rPr>
          <w:noProof/>
        </w:rPr>
        <w:t>Giacaman et al.</w:t>
      </w:r>
      <w:r w:rsidRPr="00377277">
        <w:t xml:space="preserve"> point out the futility of providing psychological therapies without also attempting to alleviate the underlying causes of collective trauma.</w:t>
      </w:r>
      <w:r w:rsidRPr="00377277">
        <w:rPr>
          <w:rStyle w:val="FootnoteReference"/>
        </w:rPr>
        <w:footnoteReference w:id="86"/>
      </w:r>
    </w:p>
    <w:p w:rsidR="00B617CB" w:rsidRPr="00377277" w:rsidRDefault="00B617CB" w:rsidP="003665E6"/>
    <w:p w:rsidR="00B617CB" w:rsidRPr="00377277" w:rsidRDefault="00B617CB" w:rsidP="003665E6">
      <w:r w:rsidRPr="00377277">
        <w:t>It is apparent that within current approaches to DRR and humanitarian response there may be a perception that people with intellectual disabilities or mental health issues are less ‘resilient’. This highlights the need for DRR and humanitarian actors to recognise that capability is not static. They need to be willing to identify elements of individual resilience that can be built on. And they need to approach the situation from the understanding that lack of opportunities, resources and support is hindering people from actualising their capabilities and capacities.</w:t>
      </w:r>
      <w:r w:rsidRPr="00377277">
        <w:rPr>
          <w:rStyle w:val="FootnoteReference"/>
        </w:rPr>
        <w:footnoteReference w:id="87"/>
      </w:r>
    </w:p>
    <w:p w:rsidR="00B617CB" w:rsidRDefault="00B617CB" w:rsidP="003665E6">
      <w:pPr>
        <w:rPr>
          <w:rFonts w:cs="Arial"/>
          <w:color w:val="000000"/>
        </w:rPr>
      </w:pPr>
    </w:p>
    <w:p w:rsidR="00FC1D79" w:rsidRPr="00377277" w:rsidRDefault="00FC1D79" w:rsidP="003665E6">
      <w:pPr>
        <w:rPr>
          <w:rFonts w:cs="Arial"/>
          <w:color w:val="000000"/>
        </w:rPr>
      </w:pPr>
    </w:p>
    <w:p w:rsidR="00B617CB" w:rsidRPr="00377277" w:rsidRDefault="00B617CB" w:rsidP="003665E6">
      <w:pPr>
        <w:pStyle w:val="Heading2"/>
      </w:pPr>
      <w:bookmarkStart w:id="16" w:name="_Toc500810264"/>
      <w:r w:rsidRPr="00377277">
        <w:t>3.2 Disability inclusion</w:t>
      </w:r>
      <w:bookmarkEnd w:id="16"/>
    </w:p>
    <w:p w:rsidR="00B617CB" w:rsidRPr="00377277" w:rsidRDefault="00B617CB" w:rsidP="003665E6"/>
    <w:p w:rsidR="00B617CB" w:rsidRPr="00377277" w:rsidRDefault="00B617CB" w:rsidP="003665E6">
      <w:pPr>
        <w:pStyle w:val="Heading4"/>
      </w:pPr>
      <w:r w:rsidRPr="00377277">
        <w:t>Progress on disability inclusive development and humanitarian response</w:t>
      </w:r>
    </w:p>
    <w:p w:rsidR="00B617CB" w:rsidRPr="00377277" w:rsidRDefault="00B617CB" w:rsidP="003665E6">
      <w:r w:rsidRPr="00377277">
        <w:t>A significant number of toolkits, guidelines and checklists on inclusive development are readily available.</w:t>
      </w:r>
      <w:r w:rsidRPr="00377277">
        <w:rPr>
          <w:rStyle w:val="FootnoteReference"/>
        </w:rPr>
        <w:footnoteReference w:id="88"/>
      </w:r>
      <w:r w:rsidRPr="00377277">
        <w:t xml:space="preserve"> Since 2003, when </w:t>
      </w:r>
      <w:r w:rsidRPr="00377277">
        <w:rPr>
          <w:noProof/>
        </w:rPr>
        <w:t xml:space="preserve">Herr et al. </w:t>
      </w:r>
      <w:r w:rsidRPr="00377277">
        <w:t>considered the international action to be “weak and intermittent”, much progress has been made on disability inclusion.</w:t>
      </w:r>
      <w:r w:rsidRPr="00377277">
        <w:rPr>
          <w:rStyle w:val="FootnoteReference"/>
        </w:rPr>
        <w:footnoteReference w:id="89"/>
      </w:r>
      <w:r w:rsidRPr="00377277">
        <w:t xml:space="preserve"> Some of the documents leading the way include the UNCRPD,</w:t>
      </w:r>
      <w:r w:rsidRPr="00377277">
        <w:rPr>
          <w:rStyle w:val="FootnoteReference"/>
        </w:rPr>
        <w:footnoteReference w:id="90"/>
      </w:r>
      <w:r w:rsidRPr="00377277">
        <w:t xml:space="preserve"> The Sphere Handbook,</w:t>
      </w:r>
      <w:r w:rsidRPr="00377277">
        <w:rPr>
          <w:rStyle w:val="FootnoteReference"/>
        </w:rPr>
        <w:footnoteReference w:id="91"/>
      </w:r>
      <w:r w:rsidRPr="00377277">
        <w:t xml:space="preserve"> and the IASC guidelines.</w:t>
      </w:r>
      <w:r w:rsidRPr="00377277">
        <w:rPr>
          <w:rStyle w:val="FootnoteReference"/>
        </w:rPr>
        <w:footnoteReference w:id="92"/>
      </w:r>
    </w:p>
    <w:p w:rsidR="00B617CB" w:rsidRPr="00377277" w:rsidRDefault="00B617CB" w:rsidP="003665E6"/>
    <w:p w:rsidR="00B617CB" w:rsidRPr="00377277" w:rsidRDefault="00B617CB" w:rsidP="003665E6">
      <w:r w:rsidRPr="00377277">
        <w:t>Many countries have adopted inclusive policy, and international organisations such as CBM,</w:t>
      </w:r>
      <w:r w:rsidRPr="00377277">
        <w:rPr>
          <w:rStyle w:val="FootnoteReference"/>
        </w:rPr>
        <w:footnoteReference w:id="93"/>
      </w:r>
      <w:r w:rsidRPr="00377277">
        <w:t xml:space="preserve"> DIFD,</w:t>
      </w:r>
      <w:r w:rsidRPr="00377277">
        <w:rPr>
          <w:rStyle w:val="FootnoteReference"/>
        </w:rPr>
        <w:footnoteReference w:id="94"/>
      </w:r>
      <w:r w:rsidRPr="00377277">
        <w:t xml:space="preserve"> AusAid,</w:t>
      </w:r>
      <w:r w:rsidRPr="00377277">
        <w:rPr>
          <w:rStyle w:val="FootnoteReference"/>
        </w:rPr>
        <w:footnoteReference w:id="95"/>
      </w:r>
      <w:r w:rsidRPr="00377277">
        <w:t xml:space="preserve"> Handicap International,</w:t>
      </w:r>
      <w:r w:rsidRPr="00377277">
        <w:rPr>
          <w:rStyle w:val="FootnoteReference"/>
        </w:rPr>
        <w:footnoteReference w:id="96"/>
      </w:r>
      <w:r w:rsidRPr="00377277">
        <w:t xml:space="preserve"> UNICEF,</w:t>
      </w:r>
      <w:r w:rsidRPr="00377277">
        <w:rPr>
          <w:rStyle w:val="FootnoteReference"/>
        </w:rPr>
        <w:footnoteReference w:id="97"/>
      </w:r>
      <w:r w:rsidRPr="00377277">
        <w:t xml:space="preserve"> and WHO</w:t>
      </w:r>
      <w:r w:rsidRPr="00377277">
        <w:rPr>
          <w:rStyle w:val="FootnoteReference"/>
        </w:rPr>
        <w:footnoteReference w:id="98"/>
      </w:r>
      <w:r w:rsidRPr="00377277">
        <w:t xml:space="preserve"> have well-developed disability inclusion guidance for DRR and humanitarian action. On the whole, intellectual disability and mental health issues are explicitly included in the definitions used, and often specific access needs are addressed within guidelines.</w:t>
      </w:r>
      <w:r w:rsidRPr="00377277">
        <w:rPr>
          <w:rStyle w:val="FootnoteReference"/>
        </w:rPr>
        <w:footnoteReference w:id="99"/>
      </w:r>
      <w:r w:rsidRPr="00377277">
        <w:t xml:space="preserve"> </w:t>
      </w:r>
    </w:p>
    <w:p w:rsidR="00B617CB" w:rsidRPr="00377277" w:rsidRDefault="00B617CB" w:rsidP="003665E6">
      <w:r w:rsidRPr="00377277">
        <w:t xml:space="preserve"> </w:t>
      </w:r>
    </w:p>
    <w:p w:rsidR="00B617CB" w:rsidRPr="00377277" w:rsidRDefault="00B617CB" w:rsidP="003665E6">
      <w:pPr>
        <w:ind w:left="720"/>
        <w:rPr>
          <w:rFonts w:ascii="Arial Narrow" w:hAnsi="Arial Narrow"/>
        </w:rPr>
      </w:pPr>
      <w:r w:rsidRPr="00377277">
        <w:rPr>
          <w:rFonts w:ascii="Arial Narrow" w:hAnsi="Arial Narrow"/>
        </w:rPr>
        <w:t>The UNCRPD describes people with disabilities to include “those who have long-term physical, mental, intellectual or sensory impairments which in interaction with various barriers may hinder their full and effective participation in society on an equal basis with others”.</w:t>
      </w:r>
      <w:r w:rsidRPr="00377277">
        <w:rPr>
          <w:rStyle w:val="FootnoteReference"/>
          <w:rFonts w:ascii="Arial Narrow" w:hAnsi="Arial Narrow"/>
        </w:rPr>
        <w:footnoteReference w:id="100"/>
      </w:r>
      <w:r w:rsidRPr="00377277">
        <w:rPr>
          <w:rFonts w:ascii="Arial Narrow" w:hAnsi="Arial Narrow"/>
        </w:rPr>
        <w:t xml:space="preserve"> </w:t>
      </w:r>
    </w:p>
    <w:p w:rsidR="00B617CB" w:rsidRPr="00377277" w:rsidRDefault="00B617CB" w:rsidP="003665E6">
      <w:pPr>
        <w:ind w:left="720"/>
        <w:rPr>
          <w:rFonts w:ascii="Arial Narrow" w:hAnsi="Arial Narrow"/>
        </w:rPr>
      </w:pPr>
    </w:p>
    <w:p w:rsidR="00B617CB" w:rsidRPr="00377277" w:rsidRDefault="00B617CB" w:rsidP="003665E6">
      <w:pPr>
        <w:ind w:left="720"/>
        <w:rPr>
          <w:rFonts w:ascii="Arial Narrow" w:hAnsi="Arial Narrow"/>
        </w:rPr>
      </w:pPr>
      <w:r w:rsidRPr="00377277">
        <w:rPr>
          <w:rFonts w:ascii="Arial Narrow" w:hAnsi="Arial Narrow"/>
        </w:rPr>
        <w:lastRenderedPageBreak/>
        <w:t xml:space="preserve">…Formats that are accessible for persons with intellectual disabilities include simple language and visual signs, such as pictograms, drawings, pictures and photos on printed materials. </w:t>
      </w:r>
      <w:r w:rsidRPr="00377277">
        <w:rPr>
          <w:rStyle w:val="FootnoteReference"/>
          <w:rFonts w:ascii="Arial Narrow" w:hAnsi="Arial Narrow"/>
        </w:rPr>
        <w:footnoteReference w:id="101"/>
      </w:r>
    </w:p>
    <w:p w:rsidR="00B617CB" w:rsidRPr="00377277" w:rsidRDefault="00B617CB" w:rsidP="003665E6">
      <w:pPr>
        <w:ind w:left="720"/>
        <w:rPr>
          <w:rFonts w:ascii="Arial Narrow" w:hAnsi="Arial Narrow"/>
        </w:rPr>
      </w:pPr>
    </w:p>
    <w:p w:rsidR="00B617CB" w:rsidRPr="00377277" w:rsidRDefault="00B617CB" w:rsidP="003665E6">
      <w:pPr>
        <w:ind w:left="720"/>
        <w:rPr>
          <w:rFonts w:ascii="Arial Narrow" w:hAnsi="Arial Narrow"/>
        </w:rPr>
      </w:pPr>
      <w:r w:rsidRPr="00377277">
        <w:rPr>
          <w:rFonts w:ascii="Arial Narrow" w:hAnsi="Arial Narrow"/>
        </w:rPr>
        <w:t>…safe spaces for children that provide learning support, skills building and psychosocial interventions</w:t>
      </w:r>
      <w:r w:rsidRPr="00377277">
        <w:rPr>
          <w:rStyle w:val="FootnoteReference"/>
          <w:rFonts w:ascii="Arial Narrow" w:hAnsi="Arial Narrow"/>
        </w:rPr>
        <w:footnoteReference w:id="102"/>
      </w:r>
    </w:p>
    <w:p w:rsidR="00B617CB" w:rsidRPr="00377277" w:rsidRDefault="00B617CB" w:rsidP="003665E6"/>
    <w:p w:rsidR="00B617CB" w:rsidRPr="00377277" w:rsidRDefault="00B617CB" w:rsidP="003665E6">
      <w:r w:rsidRPr="00377277">
        <w:t>Some of these also identify people with intellectual disability and mental health issues to be experiencing the most significant impact in disasters:</w:t>
      </w:r>
    </w:p>
    <w:p w:rsidR="00B617CB" w:rsidRPr="00377277" w:rsidRDefault="00B617CB" w:rsidP="003665E6">
      <w:pPr>
        <w:ind w:left="720"/>
      </w:pPr>
    </w:p>
    <w:p w:rsidR="00B617CB" w:rsidRPr="00377277" w:rsidRDefault="00B617CB" w:rsidP="003665E6">
      <w:pPr>
        <w:ind w:left="720"/>
        <w:rPr>
          <w:rFonts w:ascii="Arial Narrow" w:hAnsi="Arial Narrow"/>
        </w:rPr>
      </w:pPr>
      <w:r w:rsidRPr="00377277">
        <w:rPr>
          <w:rFonts w:ascii="Arial Narrow" w:hAnsi="Arial Narrow"/>
        </w:rPr>
        <w:t xml:space="preserve">We recognise that some groups within the disability community are at heightened risk of marginalisation, particularly those with psychosocial and intellectual disabilities. People with these types of disability can be rendered invisible and left out of disability-inclusive development efforts. Psychosocial and intellectual disabilities are commonly less understood, leading to greater stigmatisation. We will give greater attention to people with psychosocial and intellectual disabilities by: </w:t>
      </w:r>
    </w:p>
    <w:p w:rsidR="00B617CB" w:rsidRPr="00377277" w:rsidRDefault="00B617CB" w:rsidP="003665E6">
      <w:pPr>
        <w:pStyle w:val="ListParagraph"/>
        <w:numPr>
          <w:ilvl w:val="0"/>
          <w:numId w:val="21"/>
        </w:numPr>
        <w:rPr>
          <w:rFonts w:ascii="Arial Narrow" w:hAnsi="Arial Narrow"/>
        </w:rPr>
      </w:pPr>
      <w:r w:rsidRPr="00377277">
        <w:rPr>
          <w:rFonts w:ascii="Arial Narrow" w:hAnsi="Arial Narrow"/>
        </w:rPr>
        <w:t xml:space="preserve">encouraging partner governments to provide appropriate and accessible support services to meet people’s basic needs </w:t>
      </w:r>
    </w:p>
    <w:p w:rsidR="00B617CB" w:rsidRPr="00377277" w:rsidRDefault="00B617CB" w:rsidP="003665E6">
      <w:pPr>
        <w:pStyle w:val="ListParagraph"/>
        <w:numPr>
          <w:ilvl w:val="0"/>
          <w:numId w:val="21"/>
        </w:numPr>
        <w:rPr>
          <w:rFonts w:ascii="Arial Narrow" w:hAnsi="Arial Narrow"/>
        </w:rPr>
      </w:pPr>
      <w:r w:rsidRPr="00377277">
        <w:rPr>
          <w:rFonts w:ascii="Arial Narrow" w:hAnsi="Arial Narrow"/>
        </w:rPr>
        <w:t xml:space="preserve">supporting greater inclusion, participation and empowerment, enabling people to be contributors, leaders and decision makers in all areas of public life, such as education, health and employment </w:t>
      </w:r>
    </w:p>
    <w:p w:rsidR="00B617CB" w:rsidRPr="00377277" w:rsidRDefault="00B617CB" w:rsidP="003665E6">
      <w:pPr>
        <w:pStyle w:val="ListParagraph"/>
        <w:numPr>
          <w:ilvl w:val="0"/>
          <w:numId w:val="21"/>
        </w:numPr>
        <w:rPr>
          <w:rFonts w:ascii="Arial Narrow" w:hAnsi="Arial Narrow"/>
        </w:rPr>
      </w:pPr>
      <w:r w:rsidRPr="00377277">
        <w:rPr>
          <w:rFonts w:ascii="Arial Narrow" w:hAnsi="Arial Narrow"/>
        </w:rPr>
        <w:t>promoting awareness of psychosocial and intellectual disabilities to reduce stigma.</w:t>
      </w:r>
    </w:p>
    <w:p w:rsidR="00B617CB" w:rsidRPr="00377277" w:rsidRDefault="00B617CB" w:rsidP="003665E6">
      <w:pPr>
        <w:ind w:left="720"/>
        <w:rPr>
          <w:rFonts w:ascii="Arial Narrow" w:hAnsi="Arial Narrow"/>
        </w:rPr>
      </w:pPr>
      <w:r w:rsidRPr="00377277">
        <w:rPr>
          <w:rFonts w:ascii="Arial Narrow" w:hAnsi="Arial Narrow"/>
        </w:rPr>
        <w:t>A central principle of the AusAid strategy for disability inclusive development</w:t>
      </w:r>
      <w:r w:rsidRPr="00377277">
        <w:rPr>
          <w:rStyle w:val="FootnoteReference"/>
          <w:rFonts w:ascii="Arial Narrow" w:hAnsi="Arial Narrow"/>
        </w:rPr>
        <w:footnoteReference w:id="103"/>
      </w:r>
    </w:p>
    <w:p w:rsidR="00B617CB" w:rsidRPr="00377277" w:rsidRDefault="00B617CB" w:rsidP="003665E6"/>
    <w:p w:rsidR="00B617CB" w:rsidRDefault="00B617CB" w:rsidP="003665E6">
      <w:r w:rsidRPr="00377277">
        <w:t>There is some agreement in the literature that intellectual disability should remain considered within the broad disability grouping,</w:t>
      </w:r>
      <w:r w:rsidRPr="00377277">
        <w:rPr>
          <w:rStyle w:val="FootnoteReference"/>
        </w:rPr>
        <w:footnoteReference w:id="104"/>
      </w:r>
      <w:r w:rsidRPr="00377277">
        <w:t xml:space="preserve"> and mental health within public mental health systems.</w:t>
      </w:r>
      <w:r w:rsidRPr="00377277">
        <w:rPr>
          <w:rStyle w:val="FootnoteReference"/>
        </w:rPr>
        <w:footnoteReference w:id="105"/>
      </w:r>
      <w:r w:rsidRPr="00377277">
        <w:t xml:space="preserve"> </w:t>
      </w:r>
    </w:p>
    <w:p w:rsidR="000D7F86" w:rsidRDefault="000D7F86" w:rsidP="003665E6"/>
    <w:tbl>
      <w:tblPr>
        <w:tblStyle w:val="TableGrid"/>
        <w:tblW w:w="0" w:type="auto"/>
        <w:tblLook w:val="04A0" w:firstRow="1" w:lastRow="0" w:firstColumn="1" w:lastColumn="0" w:noHBand="0" w:noVBand="1"/>
      </w:tblPr>
      <w:tblGrid>
        <w:gridCol w:w="8996"/>
      </w:tblGrid>
      <w:tr w:rsidR="000D7F86" w:rsidTr="000D7F86">
        <w:tc>
          <w:tcPr>
            <w:tcW w:w="9016" w:type="dxa"/>
            <w:tcBorders>
              <w:top w:val="single" w:sz="12" w:space="0" w:color="002060"/>
              <w:left w:val="single" w:sz="12" w:space="0" w:color="002060"/>
              <w:bottom w:val="single" w:sz="12" w:space="0" w:color="002060"/>
              <w:right w:val="single" w:sz="12" w:space="0" w:color="002060"/>
            </w:tcBorders>
          </w:tcPr>
          <w:p w:rsidR="000D7F86" w:rsidRPr="000D7F86" w:rsidRDefault="000D7F86" w:rsidP="000D7F86">
            <w:pPr>
              <w:pStyle w:val="Heading3"/>
              <w:outlineLvl w:val="2"/>
              <w:rPr>
                <w:rStyle w:val="IntenseEmphasis"/>
                <w:b/>
              </w:rPr>
            </w:pPr>
            <w:r w:rsidRPr="000D7F86">
              <w:rPr>
                <w:rStyle w:val="IntenseEmphasis"/>
                <w:b/>
              </w:rPr>
              <w:t>Lesson learned</w:t>
            </w:r>
          </w:p>
          <w:p w:rsidR="000D7F86" w:rsidRDefault="000D7F86" w:rsidP="003665E6">
            <w:r>
              <w:rPr>
                <w:lang w:val="en-US"/>
              </w:rPr>
              <w:t xml:space="preserve">In Gaza, many international humanitarian organisations initiate important community-based psychosocial support interventions outside the health sector (e.g. child-friendly spaces, linking vulnerable people to resources) but ignore clinical intervention through health services </w:t>
            </w:r>
            <w:r>
              <w:rPr>
                <w:noProof/>
                <w:lang w:val="en-US"/>
              </w:rPr>
              <w:t>(UNWRA, 2017)</w:t>
            </w:r>
            <w:r>
              <w:rPr>
                <w:lang w:val="en-US"/>
              </w:rPr>
              <w:t xml:space="preserve">. This is despite the </w:t>
            </w:r>
            <w:r>
              <w:rPr>
                <w:noProof/>
                <w:lang w:val="en-US"/>
              </w:rPr>
              <w:t>WHO IASC (2007)</w:t>
            </w:r>
            <w:r>
              <w:rPr>
                <w:lang w:val="en-US"/>
              </w:rPr>
              <w:t xml:space="preserve"> guidelines recommending addressing mental health and psychological issues through inter-sectoral action. </w:t>
            </w:r>
          </w:p>
        </w:tc>
      </w:tr>
    </w:tbl>
    <w:p w:rsidR="000D7F86" w:rsidRPr="00377277" w:rsidRDefault="000D7F86" w:rsidP="003665E6"/>
    <w:p w:rsidR="00B617CB" w:rsidRPr="00377277" w:rsidRDefault="00B617CB" w:rsidP="003665E6">
      <w:r w:rsidRPr="00377277">
        <w:t>One of the lessons learned in Afghanistan is the effectiveness of bringing mental health into the mainstream and ensuring it is a matter for all health workers and not only specialists.</w:t>
      </w:r>
      <w:r w:rsidRPr="00377277">
        <w:rPr>
          <w:rStyle w:val="FootnoteReference"/>
        </w:rPr>
        <w:footnoteReference w:id="106"/>
      </w:r>
      <w:r w:rsidRPr="00377277">
        <w:t xml:space="preserve"> Indeed, services embedded in general community provision seem appropriate to the context in Gaza, where movement is severely restricted.</w:t>
      </w:r>
      <w:r w:rsidRPr="00377277">
        <w:rPr>
          <w:rStyle w:val="FootnoteReference"/>
        </w:rPr>
        <w:footnoteReference w:id="107"/>
      </w:r>
      <w:r w:rsidRPr="00377277">
        <w:t xml:space="preserve"> </w:t>
      </w:r>
      <w:r w:rsidRPr="00377277">
        <w:rPr>
          <w:noProof/>
        </w:rPr>
        <w:t xml:space="preserve">Twigg </w:t>
      </w:r>
      <w:r w:rsidRPr="00377277">
        <w:t>reports that Lebanon has developed a forward-thinking and cooperative programme with the aim of integrating mental health care into primary health care.</w:t>
      </w:r>
      <w:r w:rsidRPr="00377277">
        <w:rPr>
          <w:rStyle w:val="FootnoteReference"/>
        </w:rPr>
        <w:footnoteReference w:id="108"/>
      </w:r>
    </w:p>
    <w:p w:rsidR="00B617CB" w:rsidRDefault="00B617CB" w:rsidP="003665E6"/>
    <w:tbl>
      <w:tblPr>
        <w:tblStyle w:val="TableGrid"/>
        <w:tblW w:w="0" w:type="auto"/>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8996"/>
      </w:tblGrid>
      <w:tr w:rsidR="000D7F86" w:rsidTr="000D7F86">
        <w:tc>
          <w:tcPr>
            <w:tcW w:w="9016" w:type="dxa"/>
          </w:tcPr>
          <w:p w:rsidR="000D7F86" w:rsidRPr="00F37203" w:rsidRDefault="000D7F86" w:rsidP="000D7F86">
            <w:pPr>
              <w:rPr>
                <w:rStyle w:val="IntenseEmphasis"/>
              </w:rPr>
            </w:pPr>
            <w:r w:rsidRPr="00F37203">
              <w:rPr>
                <w:rStyle w:val="IntenseEmphasis"/>
              </w:rPr>
              <w:lastRenderedPageBreak/>
              <w:t>Best practice</w:t>
            </w:r>
          </w:p>
          <w:p w:rsidR="000D7F86" w:rsidRDefault="000D7F86" w:rsidP="003665E6">
            <w:r>
              <w:t>U</w:t>
            </w:r>
            <w:r w:rsidRPr="001D0D63">
              <w:t>NRWA runs job creation program</w:t>
            </w:r>
            <w:r>
              <w:t>me</w:t>
            </w:r>
            <w:r w:rsidRPr="001D0D63">
              <w:t>s, distribution of food baskets, the regular assessment of refugees’ poverty status and eligibility for services through social workers, in addition to a variety of skills training and capacity building mainly for women, children and youth</w:t>
            </w:r>
            <w:r>
              <w:t>,</w:t>
            </w:r>
            <w:r w:rsidRPr="001D0D63">
              <w:t xml:space="preserve"> and sports program</w:t>
            </w:r>
            <w:r>
              <w:t>me</w:t>
            </w:r>
            <w:r w:rsidRPr="001D0D63">
              <w:t xml:space="preserve">s for children </w:t>
            </w:r>
            <w:r>
              <w:t xml:space="preserve">and adolescents especially girls. </w:t>
            </w:r>
            <w:r>
              <w:rPr>
                <w:noProof/>
              </w:rPr>
              <w:t>(UNWRA, 2017)</w:t>
            </w:r>
          </w:p>
        </w:tc>
      </w:tr>
    </w:tbl>
    <w:p w:rsidR="00B617CB" w:rsidRPr="00377277" w:rsidRDefault="00B617CB" w:rsidP="003665E6"/>
    <w:p w:rsidR="00B617CB" w:rsidRPr="00377277" w:rsidRDefault="00B617CB" w:rsidP="003665E6">
      <w:pPr>
        <w:pStyle w:val="Heading4"/>
      </w:pPr>
      <w:r w:rsidRPr="00377277">
        <w:t>Continued side-lining of people with intellectual disability and mental health issues</w:t>
      </w:r>
    </w:p>
    <w:p w:rsidR="00B617CB" w:rsidRPr="00377277" w:rsidRDefault="00B617CB" w:rsidP="003665E6">
      <w:r w:rsidRPr="00377277">
        <w:t>However, when resources are scarce, more often than not those who are more articulate and less stigmatised tend to be better served than others in humanitarian responses.</w:t>
      </w:r>
      <w:r w:rsidRPr="00377277">
        <w:rPr>
          <w:rStyle w:val="FootnoteReference"/>
        </w:rPr>
        <w:footnoteReference w:id="109"/>
      </w:r>
      <w:r w:rsidRPr="00377277">
        <w:t xml:space="preserve"> Furthermore, there is a growing phenomenon in post-conflict countries to prioritise resources towards people with impairments (and particularly physical impairments) that have been acquired as a consequence of conflict.</w:t>
      </w:r>
      <w:r w:rsidRPr="00377277">
        <w:rPr>
          <w:rStyle w:val="FootnoteReference"/>
        </w:rPr>
        <w:footnoteReference w:id="110"/>
      </w:r>
      <w:r w:rsidRPr="00377277">
        <w:t xml:space="preserve"> This is also apparent with mental health services focusing on newly acquired mental health issues. In these environments, hierarchies of impairment emerge and people with pre-existing disabilities or mental health issues and invisible impairments are further marginalised and find themselves the last in line. A number of documents suggest that those with intellectual disability and mental health issues are the last of the last.</w:t>
      </w:r>
      <w:r w:rsidRPr="00377277">
        <w:rPr>
          <w:rStyle w:val="FootnoteReference"/>
        </w:rPr>
        <w:footnoteReference w:id="111"/>
      </w:r>
      <w:r w:rsidRPr="00377277">
        <w:t xml:space="preserve"> Despite the important progress for the disability rights movement as a whole, the literature recognises that this has not yet proved sufficient to address the degree of discrimination perpetuated against people with intellectual disability and mental health issues.</w:t>
      </w:r>
      <w:r w:rsidRPr="00377277">
        <w:rPr>
          <w:rStyle w:val="FootnoteReference"/>
        </w:rPr>
        <w:footnoteReference w:id="112"/>
      </w:r>
    </w:p>
    <w:p w:rsidR="00B617CB" w:rsidRPr="00377277" w:rsidRDefault="00B617CB" w:rsidP="003665E6"/>
    <w:p w:rsidR="00B617CB" w:rsidRDefault="00B617CB" w:rsidP="003665E6">
      <w:pPr>
        <w:rPr>
          <w:szCs w:val="24"/>
        </w:rPr>
      </w:pPr>
      <w:r w:rsidRPr="00377277">
        <w:t>Given that general disability inclusion efforts are not adequately or equally including people with intellectual disability and mental health issues, the literature calls for disability inclusion to be more broad and flexible.</w:t>
      </w:r>
      <w:r w:rsidRPr="00377277">
        <w:rPr>
          <w:rStyle w:val="FootnoteReference"/>
        </w:rPr>
        <w:footnoteReference w:id="113"/>
      </w:r>
      <w:r w:rsidRPr="00377277">
        <w:t xml:space="preserve"> The tendency for disability guidelines and subsequent programmes to amalgamate issues concerning all types of disabilities can effectively hide important differences that need to be acknowledged.</w:t>
      </w:r>
      <w:r w:rsidRPr="00377277">
        <w:rPr>
          <w:rStyle w:val="FootnoteReference"/>
        </w:rPr>
        <w:footnoteReference w:id="114"/>
      </w:r>
      <w:r w:rsidRPr="00377277">
        <w:t xml:space="preserve"> </w:t>
      </w:r>
      <w:r w:rsidRPr="00377277">
        <w:rPr>
          <w:szCs w:val="24"/>
        </w:rPr>
        <w:t>Intellectual disability and mental health issues should be given a voice in all proposals, projects and evaluations through explicit mention and definitions that emphasise the diversity of disability.</w:t>
      </w:r>
      <w:r w:rsidRPr="00377277">
        <w:rPr>
          <w:rStyle w:val="FootnoteReference"/>
          <w:szCs w:val="24"/>
        </w:rPr>
        <w:footnoteReference w:id="115"/>
      </w:r>
    </w:p>
    <w:p w:rsidR="000D7F86" w:rsidRDefault="000D7F86" w:rsidP="003665E6"/>
    <w:tbl>
      <w:tblPr>
        <w:tblStyle w:val="TableGrid"/>
        <w:tblW w:w="0" w:type="auto"/>
        <w:tblLook w:val="04A0" w:firstRow="1" w:lastRow="0" w:firstColumn="1" w:lastColumn="0" w:noHBand="0" w:noVBand="1"/>
      </w:tblPr>
      <w:tblGrid>
        <w:gridCol w:w="8996"/>
      </w:tblGrid>
      <w:tr w:rsidR="000D7F86" w:rsidTr="000D7F86">
        <w:tc>
          <w:tcPr>
            <w:tcW w:w="9016" w:type="dxa"/>
            <w:tcBorders>
              <w:top w:val="single" w:sz="12" w:space="0" w:color="002060"/>
              <w:left w:val="single" w:sz="12" w:space="0" w:color="002060"/>
              <w:bottom w:val="single" w:sz="12" w:space="0" w:color="002060"/>
              <w:right w:val="single" w:sz="12" w:space="0" w:color="002060"/>
            </w:tcBorders>
          </w:tcPr>
          <w:p w:rsidR="000D7F86" w:rsidRPr="004D4E8E" w:rsidRDefault="000D7F86" w:rsidP="000D7F86">
            <w:pPr>
              <w:rPr>
                <w:rStyle w:val="IntenseEmphasis"/>
              </w:rPr>
            </w:pPr>
            <w:r>
              <w:rPr>
                <w:rStyle w:val="IntenseEmphasis"/>
              </w:rPr>
              <w:t>Best practice</w:t>
            </w:r>
          </w:p>
          <w:p w:rsidR="000D7F86" w:rsidRPr="000D7F86" w:rsidRDefault="000D7F86" w:rsidP="003665E6">
            <w:pPr>
              <w:rPr>
                <w:szCs w:val="24"/>
              </w:rPr>
            </w:pPr>
            <w:r>
              <w:rPr>
                <w:noProof/>
              </w:rPr>
              <w:t>Irish Aid (2011)</w:t>
            </w:r>
            <w:r>
              <w:t xml:space="preserve"> and </w:t>
            </w:r>
            <w:r>
              <w:rPr>
                <w:noProof/>
              </w:rPr>
              <w:t>Herr, Gostin, Koh, and Gostin (2003)</w:t>
            </w:r>
            <w:r>
              <w:t xml:space="preserve"> suggest an approach whereby all DRR and humanitarian response actors are required to demonstrate systematic consideration of all diversities of disability. This goes beyond simply acknowledging that people with disabilities are heterogeneous rather than a homogenous group </w:t>
            </w:r>
            <w:r>
              <w:rPr>
                <w:noProof/>
              </w:rPr>
              <w:t>(Herr et al., 2003)</w:t>
            </w:r>
            <w:r>
              <w:t>, and instead requires creativity and flexibility.</w:t>
            </w:r>
          </w:p>
        </w:tc>
      </w:tr>
    </w:tbl>
    <w:p w:rsidR="000D7F86" w:rsidRPr="00377277" w:rsidRDefault="000D7F86" w:rsidP="003665E6"/>
    <w:p w:rsidR="00B617CB" w:rsidRPr="00377277" w:rsidRDefault="00B617CB" w:rsidP="003665E6"/>
    <w:p w:rsidR="00B617CB" w:rsidRPr="00377277" w:rsidRDefault="00B617CB" w:rsidP="003665E6"/>
    <w:p w:rsidR="00B617CB" w:rsidRPr="00377277" w:rsidRDefault="00B617CB" w:rsidP="003665E6">
      <w:pPr>
        <w:pStyle w:val="Heading4"/>
      </w:pPr>
      <w:r w:rsidRPr="00377277">
        <w:lastRenderedPageBreak/>
        <w:t>General vs specialist interventions debate</w:t>
      </w:r>
    </w:p>
    <w:p w:rsidR="00B617CB" w:rsidRPr="00377277" w:rsidRDefault="00B617CB" w:rsidP="003665E6">
      <w:r w:rsidRPr="00377277">
        <w:t>Others suggest that the insufficient recognition of the needs and experiences of the most marginalised demonstrates that general DRR and humanitarian responses are inadequate and will leave many behind.</w:t>
      </w:r>
      <w:r w:rsidRPr="00377277">
        <w:rPr>
          <w:rStyle w:val="FootnoteReference"/>
        </w:rPr>
        <w:footnoteReference w:id="116"/>
      </w:r>
      <w:r w:rsidRPr="00377277">
        <w:t xml:space="preserve"> </w:t>
      </w:r>
      <w:r w:rsidRPr="00377277">
        <w:rPr>
          <w:noProof/>
        </w:rPr>
        <w:t>Clegg and Bigby</w:t>
      </w:r>
      <w:r w:rsidRPr="00377277">
        <w:t xml:space="preserve"> offer examples of specialist needs that require attention, such as providing skilled interpreters for people with intellectual disabilities if they are to participate meaningfully in decision-making, research, political or civil bodies.</w:t>
      </w:r>
      <w:r w:rsidRPr="00377277">
        <w:rPr>
          <w:rStyle w:val="FootnoteReference"/>
        </w:rPr>
        <w:footnoteReference w:id="117"/>
      </w:r>
      <w:r w:rsidRPr="00377277">
        <w:t xml:space="preserve"> </w:t>
      </w:r>
      <w:r w:rsidRPr="00377277">
        <w:rPr>
          <w:noProof/>
        </w:rPr>
        <w:t xml:space="preserve">Mohanraj </w:t>
      </w:r>
      <w:r w:rsidRPr="00377277">
        <w:t>points out that different groups with mental health issues face different challenges requiring specialised approaches, such as the need for differentiating approaches for children and youth.</w:t>
      </w:r>
      <w:r w:rsidRPr="00377277">
        <w:rPr>
          <w:rStyle w:val="FootnoteReference"/>
        </w:rPr>
        <w:footnoteReference w:id="118"/>
      </w:r>
      <w:r w:rsidRPr="00377277">
        <w:t xml:space="preserve"> </w:t>
      </w:r>
    </w:p>
    <w:p w:rsidR="00B617CB" w:rsidRPr="00377277" w:rsidRDefault="00B617CB" w:rsidP="003665E6"/>
    <w:p w:rsidR="00B617CB" w:rsidRDefault="00B617CB" w:rsidP="003665E6">
      <w:r w:rsidRPr="00377277">
        <w:t xml:space="preserve">The danger in specialisation, however, is the tendency for people to fall through the gaps. When it is assumed that someone needs specialised support they can find themselves being passed from </w:t>
      </w:r>
      <w:r w:rsidR="00BD1CAB">
        <w:t xml:space="preserve">one </w:t>
      </w:r>
      <w:r w:rsidRPr="00377277">
        <w:t>specialist group to another in search of the necessary services, and as a result access no support at all.</w:t>
      </w:r>
      <w:r w:rsidRPr="00377277">
        <w:rPr>
          <w:rStyle w:val="FootnoteReference"/>
        </w:rPr>
        <w:footnoteReference w:id="119"/>
      </w:r>
      <w:r w:rsidRPr="00377277">
        <w:t xml:space="preserve"> Specialisation allows for exclusion to occur, due to the fear of what </w:t>
      </w:r>
      <w:r w:rsidRPr="00377277">
        <w:rPr>
          <w:noProof/>
        </w:rPr>
        <w:t xml:space="preserve">Clegg and Bigby </w:t>
      </w:r>
      <w:r w:rsidRPr="00377277">
        <w:t>call an “unpredictable mix of expected and unexpected abilities” and an “interactional gap”</w:t>
      </w:r>
      <w:r w:rsidR="00BD1CAB">
        <w:t>,</w:t>
      </w:r>
      <w:r w:rsidRPr="00377277">
        <w:rPr>
          <w:rStyle w:val="FootnoteReference"/>
        </w:rPr>
        <w:footnoteReference w:id="120"/>
      </w:r>
      <w:r w:rsidRPr="00377277">
        <w:t xml:space="preserve"> whereas in reality, as stated in the Sphere handbook, “persons with disabilities have the same basic needs as everyone else in their communities”.</w:t>
      </w:r>
      <w:r w:rsidRPr="00377277">
        <w:rPr>
          <w:rStyle w:val="FootnoteReference"/>
        </w:rPr>
        <w:footnoteReference w:id="121"/>
      </w:r>
    </w:p>
    <w:p w:rsidR="00BD1CAB" w:rsidRDefault="00BD1CAB" w:rsidP="003665E6"/>
    <w:tbl>
      <w:tblPr>
        <w:tblStyle w:val="TableGrid"/>
        <w:tblW w:w="0" w:type="auto"/>
        <w:tblLook w:val="04A0" w:firstRow="1" w:lastRow="0" w:firstColumn="1" w:lastColumn="0" w:noHBand="0" w:noVBand="1"/>
      </w:tblPr>
      <w:tblGrid>
        <w:gridCol w:w="8996"/>
      </w:tblGrid>
      <w:tr w:rsidR="00BD1CAB" w:rsidTr="00BD1CAB">
        <w:tc>
          <w:tcPr>
            <w:tcW w:w="9016" w:type="dxa"/>
            <w:tcBorders>
              <w:top w:val="single" w:sz="12" w:space="0" w:color="002060"/>
              <w:left w:val="single" w:sz="12" w:space="0" w:color="002060"/>
              <w:bottom w:val="single" w:sz="12" w:space="0" w:color="002060"/>
              <w:right w:val="single" w:sz="12" w:space="0" w:color="002060"/>
            </w:tcBorders>
          </w:tcPr>
          <w:p w:rsidR="00BD1CAB" w:rsidRPr="004D4E8E" w:rsidRDefault="00BD1CAB" w:rsidP="00BD1CAB">
            <w:pPr>
              <w:rPr>
                <w:rStyle w:val="IntenseEmphasis"/>
              </w:rPr>
            </w:pPr>
            <w:r>
              <w:rPr>
                <w:rStyle w:val="IntenseEmphasis"/>
              </w:rPr>
              <w:t>Lesson learned</w:t>
            </w:r>
          </w:p>
          <w:p w:rsidR="00BD1CAB" w:rsidRDefault="00BD1CAB" w:rsidP="003665E6">
            <w:r>
              <w:t xml:space="preserve">Near Ramallah in the West Bank, the father of four children with intellectual disabilities reports none of them attend school. They had begun attending a public school but he’d removed them due to severe bullying. A specialist centre enrolled them, but because they made no progress their father brought them home. </w:t>
            </w:r>
            <w:r>
              <w:rPr>
                <w:noProof/>
              </w:rPr>
              <w:t>(UNICEF, 2016, p. 82)</w:t>
            </w:r>
          </w:p>
        </w:tc>
      </w:tr>
    </w:tbl>
    <w:p w:rsidR="00BD1CAB" w:rsidRPr="00377277" w:rsidRDefault="00BD1CAB" w:rsidP="003665E6"/>
    <w:p w:rsidR="00B617CB" w:rsidRPr="00377277" w:rsidRDefault="00B617CB" w:rsidP="003665E6">
      <w:r w:rsidRPr="00377277">
        <w:t>A balance between mainstream and targeted responses can be found in the twin-track approach, which ensures that people with disabilities have equal access to all mainstream DRR and humanitarian response activities while also accessing some services specific to their diverse or personal needs.</w:t>
      </w:r>
      <w:r w:rsidRPr="00377277">
        <w:rPr>
          <w:rStyle w:val="FootnoteReference"/>
        </w:rPr>
        <w:footnoteReference w:id="122"/>
      </w:r>
      <w:r w:rsidRPr="00377277">
        <w:t xml:space="preserve"> While the twin-track approach is not a new concept, for people with intellectual disabilities and mental health issues the focus should be on making careful rights-based decisions regarding the mix of provision they require. Specialist provision should not replace disability inclusion in the services of those already providing for basic needs.</w:t>
      </w:r>
      <w:r w:rsidRPr="00377277">
        <w:rPr>
          <w:rStyle w:val="FootnoteReference"/>
        </w:rPr>
        <w:footnoteReference w:id="123"/>
      </w:r>
      <w:r w:rsidRPr="00377277">
        <w:t xml:space="preserve"> </w:t>
      </w:r>
    </w:p>
    <w:p w:rsidR="00B617CB" w:rsidRDefault="00B617CB" w:rsidP="003665E6"/>
    <w:p w:rsidR="00BD1CAB" w:rsidRPr="00377277" w:rsidRDefault="00BD1CAB" w:rsidP="003665E6"/>
    <w:p w:rsidR="00B617CB" w:rsidRPr="00377277" w:rsidRDefault="00B617CB" w:rsidP="003665E6">
      <w:pPr>
        <w:pStyle w:val="Heading2"/>
      </w:pPr>
      <w:bookmarkStart w:id="17" w:name="_Toc500810265"/>
      <w:r w:rsidRPr="00377277">
        <w:t>3.3 Participation</w:t>
      </w:r>
      <w:bookmarkEnd w:id="17"/>
    </w:p>
    <w:p w:rsidR="00B617CB" w:rsidRPr="00377277" w:rsidRDefault="00B617CB"/>
    <w:p w:rsidR="00B617CB" w:rsidRPr="00377277" w:rsidRDefault="00B617CB" w:rsidP="003665E6">
      <w:pPr>
        <w:textAlignment w:val="baseline"/>
      </w:pPr>
      <w:r w:rsidRPr="00377277">
        <w:t xml:space="preserve">In some countries, investing in services for people experiencing mental health issues is not a high priority, and the needs of people with intellectual disabilities is under-considered in DRR planning and humanitarian response. A global UN survey clearly </w:t>
      </w:r>
      <w:r w:rsidRPr="00377277">
        <w:lastRenderedPageBreak/>
        <w:t>revealed that “the key reason why a disproportionate number of disabled persons suffer and die in disasters is because their needs are ignored and neglected by the official planning process in the majority of situations”.</w:t>
      </w:r>
      <w:r w:rsidRPr="00377277">
        <w:rPr>
          <w:rStyle w:val="FootnoteReference"/>
        </w:rPr>
        <w:footnoteReference w:id="124"/>
      </w:r>
    </w:p>
    <w:p w:rsidR="00B617CB" w:rsidRPr="00377277" w:rsidRDefault="00B617CB" w:rsidP="003665E6">
      <w:pPr>
        <w:textAlignment w:val="baseline"/>
      </w:pPr>
    </w:p>
    <w:p w:rsidR="00B617CB" w:rsidRPr="00377277" w:rsidRDefault="00B617CB" w:rsidP="003665E6">
      <w:pPr>
        <w:pStyle w:val="Heading4"/>
      </w:pPr>
      <w:r w:rsidRPr="00377277">
        <w:t>Raising the profile of people with intellectual disabilities and mental health issues</w:t>
      </w:r>
    </w:p>
    <w:p w:rsidR="00B617CB" w:rsidRPr="00377277" w:rsidRDefault="00B617CB" w:rsidP="003665E6">
      <w:pPr>
        <w:textAlignment w:val="baseline"/>
      </w:pPr>
      <w:r w:rsidRPr="00377277">
        <w:t>A key factor hindering the recognition of needs is the lack of visibility and voice among people with intellectual disabilities and mental health issues.</w:t>
      </w:r>
      <w:r w:rsidRPr="00377277">
        <w:rPr>
          <w:rStyle w:val="FootnoteReference"/>
        </w:rPr>
        <w:footnoteReference w:id="125"/>
      </w:r>
      <w:r w:rsidRPr="00377277">
        <w:t xml:space="preserve"> There is a need for people with intellectual disabilities and mental health issues to raise their profile and place themselves on the political agenda.</w:t>
      </w:r>
      <w:r w:rsidRPr="00377277">
        <w:rPr>
          <w:rStyle w:val="FootnoteReference"/>
        </w:rPr>
        <w:footnoteReference w:id="126"/>
      </w:r>
      <w:r w:rsidRPr="00377277">
        <w:t xml:space="preserve"> Political agency – the capacity to positively influence the collective future – is lacking for people with disabilities in Palestine and Lebanon.</w:t>
      </w:r>
      <w:r w:rsidRPr="00377277">
        <w:rPr>
          <w:rStyle w:val="FootnoteReference"/>
        </w:rPr>
        <w:footnoteReference w:id="127"/>
      </w:r>
      <w:r w:rsidRPr="00377277">
        <w:t xml:space="preserve"> Such agency is usually found in collective action by people with disabilities who lobby and advocate for their rights and freedoms. An effective way of bringing people out of isolation and into active roles in the community is through the initiation and empowerment of disabled people’s organisations.</w:t>
      </w:r>
      <w:r w:rsidRPr="00377277">
        <w:rPr>
          <w:rStyle w:val="FootnoteReference"/>
        </w:rPr>
        <w:footnoteReference w:id="128"/>
      </w:r>
      <w:r w:rsidRPr="00377277">
        <w:t xml:space="preserve"> In addition to increasing visibility, this offers opportunity to self-represent, to participate and to collectively advocate. </w:t>
      </w:r>
      <w:r w:rsidRPr="00377277">
        <w:rPr>
          <w:noProof/>
        </w:rPr>
        <w:t xml:space="preserve">Clegg and Bigby </w:t>
      </w:r>
      <w:r w:rsidRPr="00377277">
        <w:t>call for solidarity among various disabled people’s groups so that this greater advocacy can happen.</w:t>
      </w:r>
      <w:r w:rsidRPr="00377277">
        <w:rPr>
          <w:rStyle w:val="FootnoteReference"/>
        </w:rPr>
        <w:footnoteReference w:id="129"/>
      </w:r>
      <w:r w:rsidRPr="00377277">
        <w:t xml:space="preserve"> Indeed, as</w:t>
      </w:r>
      <w:r w:rsidR="00BD1CAB">
        <w:t xml:space="preserve"> UN Department for Economic and Social Affairs (</w:t>
      </w:r>
      <w:r w:rsidRPr="00377277">
        <w:t>UNDESA</w:t>
      </w:r>
      <w:r w:rsidR="00BD1CAB">
        <w:t>)</w:t>
      </w:r>
      <w:r w:rsidRPr="00377277">
        <w:t>, UNISDR and the Nippon Foundation point out, there is a widespread desire among people with disabilities to be included in DRR and humanitarian response planning and to have their perspectives and concerns recognised.</w:t>
      </w:r>
      <w:r w:rsidRPr="00377277">
        <w:rPr>
          <w:rStyle w:val="FootnoteReference"/>
        </w:rPr>
        <w:footnoteReference w:id="130"/>
      </w:r>
    </w:p>
    <w:p w:rsidR="00B617CB" w:rsidRPr="00377277" w:rsidRDefault="00B617CB" w:rsidP="003665E6">
      <w:pPr>
        <w:textAlignment w:val="baseline"/>
      </w:pPr>
    </w:p>
    <w:p w:rsidR="00B617CB" w:rsidRPr="00377277" w:rsidRDefault="00B617CB" w:rsidP="003665E6">
      <w:pPr>
        <w:ind w:left="720"/>
        <w:textAlignment w:val="baseline"/>
        <w:rPr>
          <w:rFonts w:ascii="Arial Narrow" w:hAnsi="Arial Narrow"/>
        </w:rPr>
      </w:pPr>
      <w:r w:rsidRPr="00377277">
        <w:rPr>
          <w:rFonts w:ascii="Arial Narrow" w:hAnsi="Arial Narrow"/>
        </w:rPr>
        <w:t>Persons with disabilities and their representative organizations have untapped capacity and are not sufficiently consulted nor actively involved in decision-making processes concerning their lives, including in crisis preparedness and response coordination mechanisms.</w:t>
      </w:r>
      <w:r w:rsidRPr="00377277">
        <w:rPr>
          <w:rStyle w:val="FootnoteReference"/>
          <w:rFonts w:ascii="Arial Narrow" w:hAnsi="Arial Narrow"/>
        </w:rPr>
        <w:footnoteReference w:id="131"/>
      </w:r>
      <w:r w:rsidRPr="00377277">
        <w:rPr>
          <w:rFonts w:ascii="Arial Narrow" w:hAnsi="Arial Narrow"/>
        </w:rPr>
        <w:t xml:space="preserve"> </w:t>
      </w:r>
    </w:p>
    <w:p w:rsidR="00B617CB" w:rsidRDefault="00B617CB" w:rsidP="00BD1CAB">
      <w:pPr>
        <w:textAlignment w:val="baseline"/>
      </w:pPr>
    </w:p>
    <w:tbl>
      <w:tblPr>
        <w:tblStyle w:val="TableGrid"/>
        <w:tblW w:w="0" w:type="auto"/>
        <w:tblLook w:val="04A0" w:firstRow="1" w:lastRow="0" w:firstColumn="1" w:lastColumn="0" w:noHBand="0" w:noVBand="1"/>
      </w:tblPr>
      <w:tblGrid>
        <w:gridCol w:w="8996"/>
      </w:tblGrid>
      <w:tr w:rsidR="00BD1CAB" w:rsidTr="00BD1CAB">
        <w:tc>
          <w:tcPr>
            <w:tcW w:w="9016" w:type="dxa"/>
            <w:tcBorders>
              <w:top w:val="single" w:sz="12" w:space="0" w:color="002060"/>
              <w:left w:val="single" w:sz="12" w:space="0" w:color="002060"/>
              <w:bottom w:val="single" w:sz="12" w:space="0" w:color="002060"/>
              <w:right w:val="single" w:sz="12" w:space="0" w:color="002060"/>
            </w:tcBorders>
          </w:tcPr>
          <w:p w:rsidR="00BD1CAB" w:rsidRPr="004D4E8E" w:rsidRDefault="00BD1CAB" w:rsidP="00BD1CAB">
            <w:pPr>
              <w:rPr>
                <w:rStyle w:val="IntenseEmphasis"/>
              </w:rPr>
            </w:pPr>
            <w:r>
              <w:rPr>
                <w:rStyle w:val="IntenseEmphasis"/>
              </w:rPr>
              <w:t>Lesson learned</w:t>
            </w:r>
          </w:p>
          <w:p w:rsidR="00BD1CAB" w:rsidRDefault="00BD1CAB" w:rsidP="00BD1CAB">
            <w:r>
              <w:rPr>
                <w:lang w:val="en-US"/>
              </w:rPr>
              <w:t xml:space="preserve">In the Palestinian context, the DPOs remain fragmented and the benefits of collective action are not perceived thus placing them at the periphery of policy and DRR programming. </w:t>
            </w:r>
            <w:r>
              <w:rPr>
                <w:noProof/>
                <w:lang w:val="en-US"/>
              </w:rPr>
              <w:t>(World Bank, 2016)</w:t>
            </w:r>
          </w:p>
        </w:tc>
      </w:tr>
    </w:tbl>
    <w:p w:rsidR="00BD1CAB" w:rsidRPr="00377277" w:rsidRDefault="00BD1CAB" w:rsidP="00BD1CAB">
      <w:pPr>
        <w:textAlignment w:val="baseline"/>
      </w:pPr>
    </w:p>
    <w:p w:rsidR="00B617CB" w:rsidRDefault="00B617CB" w:rsidP="003665E6">
      <w:r w:rsidRPr="00377277">
        <w:t>For improved representation of people with intellectual disability and mental health in disability advocacy to happen, there needs to be recognition of some barriers that are currently excluding them. One of these is the hierarchy within the disability rights movement and the higher profile of DPOs representing physical disabilities and war disabled.</w:t>
      </w:r>
      <w:r w:rsidRPr="00377277">
        <w:rPr>
          <w:rStyle w:val="FootnoteReference"/>
        </w:rPr>
        <w:footnoteReference w:id="132"/>
      </w:r>
    </w:p>
    <w:p w:rsidR="00BD1CAB" w:rsidRDefault="00BD1CAB" w:rsidP="003665E6"/>
    <w:p w:rsidR="00BD1CAB" w:rsidRDefault="00BD1CAB" w:rsidP="003665E6"/>
    <w:p w:rsidR="00BD1CAB" w:rsidRDefault="00BD1CAB" w:rsidP="003665E6"/>
    <w:p w:rsidR="00BD1CAB" w:rsidRDefault="00BD1CAB" w:rsidP="003665E6"/>
    <w:tbl>
      <w:tblPr>
        <w:tblStyle w:val="TableGrid"/>
        <w:tblW w:w="0" w:type="auto"/>
        <w:tblLook w:val="04A0" w:firstRow="1" w:lastRow="0" w:firstColumn="1" w:lastColumn="0" w:noHBand="0" w:noVBand="1"/>
      </w:tblPr>
      <w:tblGrid>
        <w:gridCol w:w="8996"/>
      </w:tblGrid>
      <w:tr w:rsidR="00BD1CAB" w:rsidTr="00BD1CAB">
        <w:tc>
          <w:tcPr>
            <w:tcW w:w="9016" w:type="dxa"/>
            <w:tcBorders>
              <w:top w:val="single" w:sz="12" w:space="0" w:color="002060"/>
              <w:left w:val="single" w:sz="12" w:space="0" w:color="002060"/>
              <w:bottom w:val="single" w:sz="12" w:space="0" w:color="002060"/>
              <w:right w:val="single" w:sz="12" w:space="0" w:color="002060"/>
            </w:tcBorders>
          </w:tcPr>
          <w:p w:rsidR="00BD1CAB" w:rsidRPr="004D4E8E" w:rsidRDefault="00BD1CAB" w:rsidP="00BD1CAB">
            <w:pPr>
              <w:rPr>
                <w:rStyle w:val="IntenseEmphasis"/>
              </w:rPr>
            </w:pPr>
            <w:r>
              <w:rPr>
                <w:rStyle w:val="IntenseEmphasis"/>
              </w:rPr>
              <w:lastRenderedPageBreak/>
              <w:t>Lesson learned</w:t>
            </w:r>
          </w:p>
          <w:p w:rsidR="00BD1CAB" w:rsidRDefault="00BD1CAB" w:rsidP="003665E6">
            <w:r>
              <w:rPr>
                <w:lang w:val="en-US"/>
              </w:rPr>
              <w:t xml:space="preserve">A World Bank report on the West bank and Gaza in 2016 noted that the Higher Council for Persons with Disabilities became functional in 2012 but DPO representation and participation remains poor, thus compromising their ability to influence or advocate for disability rights. Government recognition and cooperation remain major challenges for the DPOs. The report points to similar councils in Thailand that have been instrumental in DRR planning, management and training adding the perspectives of people with disabilities. </w:t>
            </w:r>
            <w:r>
              <w:rPr>
                <w:noProof/>
                <w:lang w:val="en-US"/>
              </w:rPr>
              <w:t>(World Bank, 2016)</w:t>
            </w:r>
          </w:p>
        </w:tc>
      </w:tr>
    </w:tbl>
    <w:p w:rsidR="00BD1CAB" w:rsidRPr="00377277" w:rsidRDefault="00BD1CAB" w:rsidP="003665E6"/>
    <w:p w:rsidR="00B617CB" w:rsidRPr="00377277" w:rsidRDefault="00B617CB" w:rsidP="003665E6">
      <w:pPr>
        <w:keepLines/>
      </w:pPr>
      <w:r w:rsidRPr="00377277">
        <w:t>Another barrier in Palestine is the restriction on physical movement, which has particular impact on access to political decision-makers. DPOs are also centred in cities, leaving people with disabilities in other areas under- or un-represented. The absence of a common agenda further hinders cooperation between DPOs in Palestine, and this in turn affects the credibility of the DPO message.</w:t>
      </w:r>
      <w:r w:rsidRPr="00377277">
        <w:rPr>
          <w:rStyle w:val="FootnoteReference"/>
        </w:rPr>
        <w:footnoteReference w:id="133"/>
      </w:r>
      <w:r w:rsidRPr="00377277">
        <w:t xml:space="preserve"> </w:t>
      </w:r>
      <w:r w:rsidRPr="00377277">
        <w:rPr>
          <w:noProof/>
        </w:rPr>
        <w:t xml:space="preserve">Burton, Sayrafi, and Srour </w:t>
      </w:r>
      <w:r w:rsidRPr="00377277">
        <w:t>raise the concern that the fragile situation in Palestine means that any political gains made through disability advocacy can be quickly undermined.</w:t>
      </w:r>
      <w:r w:rsidRPr="00377277">
        <w:rPr>
          <w:rStyle w:val="FootnoteReference"/>
        </w:rPr>
        <w:footnoteReference w:id="134"/>
      </w:r>
    </w:p>
    <w:p w:rsidR="00B617CB" w:rsidRDefault="00B617CB" w:rsidP="003665E6">
      <w:pPr>
        <w:keepLines/>
      </w:pPr>
    </w:p>
    <w:tbl>
      <w:tblPr>
        <w:tblStyle w:val="TableGrid"/>
        <w:tblW w:w="0" w:type="auto"/>
        <w:tblLook w:val="04A0" w:firstRow="1" w:lastRow="0" w:firstColumn="1" w:lastColumn="0" w:noHBand="0" w:noVBand="1"/>
      </w:tblPr>
      <w:tblGrid>
        <w:gridCol w:w="8996"/>
      </w:tblGrid>
      <w:tr w:rsidR="00C62A17" w:rsidTr="00C62A17">
        <w:tc>
          <w:tcPr>
            <w:tcW w:w="9016" w:type="dxa"/>
            <w:tcBorders>
              <w:top w:val="single" w:sz="12" w:space="0" w:color="002060"/>
              <w:left w:val="single" w:sz="12" w:space="0" w:color="002060"/>
              <w:bottom w:val="single" w:sz="12" w:space="0" w:color="002060"/>
              <w:right w:val="single" w:sz="12" w:space="0" w:color="002060"/>
            </w:tcBorders>
          </w:tcPr>
          <w:p w:rsidR="00C62A17" w:rsidRPr="004D4E8E" w:rsidRDefault="00C62A17" w:rsidP="00C62A17">
            <w:pPr>
              <w:rPr>
                <w:rStyle w:val="IntenseEmphasis"/>
              </w:rPr>
            </w:pPr>
            <w:r>
              <w:rPr>
                <w:rStyle w:val="IntenseEmphasis"/>
              </w:rPr>
              <w:t>Best practice</w:t>
            </w:r>
          </w:p>
          <w:p w:rsidR="00C62A17" w:rsidRDefault="00C62A17" w:rsidP="00C62A17">
            <w:r>
              <w:t xml:space="preserve">In Palestine it has been found that outreach schemes with a focus on supporting, training and engaging caregivers in their own communities are effective. Whether running support groups, offering early diagnoses or teaching families to provide disability-specific care in the home; understanding of disability in remote areas has increased through these efforts. An example of this is the mobile clinics run by the Princess Basma Rehabilitation Centre in the West Bank. </w:t>
            </w:r>
            <w:r>
              <w:rPr>
                <w:noProof/>
              </w:rPr>
              <w:t>(UNICEF, 2016)</w:t>
            </w:r>
          </w:p>
        </w:tc>
      </w:tr>
    </w:tbl>
    <w:p w:rsidR="00B617CB" w:rsidRPr="00377277" w:rsidRDefault="00B617CB" w:rsidP="00C62A17">
      <w:pPr>
        <w:keepLines/>
      </w:pPr>
    </w:p>
    <w:p w:rsidR="00B617CB" w:rsidRPr="00377277" w:rsidRDefault="00B617CB" w:rsidP="003665E6">
      <w:pPr>
        <w:pStyle w:val="Heading4"/>
      </w:pPr>
      <w:r w:rsidRPr="00377277">
        <w:t>Voice within the disability rights movement</w:t>
      </w:r>
    </w:p>
    <w:p w:rsidR="00B617CB" w:rsidRDefault="00B617CB" w:rsidP="003665E6">
      <w:r w:rsidRPr="00377277">
        <w:rPr>
          <w:noProof/>
        </w:rPr>
        <w:t xml:space="preserve">Scior et al. </w:t>
      </w:r>
      <w:r w:rsidRPr="00377277">
        <w:t>point out that the voice of those with intellectual disabilities and mental health issues in the disability rights movement is not loud enough.</w:t>
      </w:r>
      <w:r w:rsidRPr="00377277">
        <w:rPr>
          <w:rStyle w:val="FootnoteReference"/>
        </w:rPr>
        <w:footnoteReference w:id="135"/>
      </w:r>
      <w:r w:rsidRPr="00377277">
        <w:t xml:space="preserve"> Those who experience difficulties with articulation and communication find that very few people are willing to take the time to listen to them. A further disadvantage is the constant and discriminatory expectation that people with intellectual disabilities and mental health issues must prove their worth or ability to contribute or represent themselves.</w:t>
      </w:r>
      <w:r w:rsidRPr="00377277">
        <w:rPr>
          <w:rStyle w:val="FootnoteReference"/>
        </w:rPr>
        <w:footnoteReference w:id="136"/>
      </w:r>
      <w:r w:rsidRPr="00377277">
        <w:t xml:space="preserve"> Some authors note that the silence of people with intellectual disabilities and mental health issues within the disability rights movement calls for active recognition of their access and communication needs so that they can be heard properly.</w:t>
      </w:r>
      <w:r w:rsidRPr="00377277">
        <w:rPr>
          <w:rStyle w:val="FootnoteReference"/>
        </w:rPr>
        <w:footnoteReference w:id="137"/>
      </w:r>
      <w:r w:rsidRPr="00377277">
        <w:t xml:space="preserve"> The interaction gap needs to be bridged; skilled interpreters must become involved and communication must not solely rely on written, web-based or automated technology.</w:t>
      </w:r>
      <w:r w:rsidRPr="00377277">
        <w:rPr>
          <w:rStyle w:val="FootnoteReference"/>
        </w:rPr>
        <w:footnoteReference w:id="138"/>
      </w:r>
      <w:r w:rsidRPr="00377277">
        <w:t xml:space="preserve"> </w:t>
      </w:r>
      <w:r w:rsidRPr="00377277">
        <w:rPr>
          <w:noProof/>
        </w:rPr>
        <w:t>Greskamp</w:t>
      </w:r>
      <w:r w:rsidRPr="00377277">
        <w:t xml:space="preserve"> explains how participating in DPOs helps to replace a position of isolation and discrimination with an active role, focusing on capabilities rather than deficits.</w:t>
      </w:r>
      <w:r w:rsidRPr="00377277">
        <w:rPr>
          <w:rStyle w:val="FootnoteReference"/>
        </w:rPr>
        <w:footnoteReference w:id="139"/>
      </w:r>
    </w:p>
    <w:p w:rsidR="00C62A17" w:rsidRDefault="00C62A17" w:rsidP="003665E6"/>
    <w:p w:rsidR="00C62A17" w:rsidRDefault="00C62A17" w:rsidP="003665E6"/>
    <w:p w:rsidR="00C62A17" w:rsidRDefault="00C62A17" w:rsidP="003665E6"/>
    <w:tbl>
      <w:tblPr>
        <w:tblStyle w:val="TableGrid"/>
        <w:tblW w:w="0" w:type="auto"/>
        <w:tblLook w:val="04A0" w:firstRow="1" w:lastRow="0" w:firstColumn="1" w:lastColumn="0" w:noHBand="0" w:noVBand="1"/>
      </w:tblPr>
      <w:tblGrid>
        <w:gridCol w:w="8996"/>
      </w:tblGrid>
      <w:tr w:rsidR="00C62A17" w:rsidTr="00C62A17">
        <w:tc>
          <w:tcPr>
            <w:tcW w:w="9016" w:type="dxa"/>
            <w:tcBorders>
              <w:top w:val="single" w:sz="12" w:space="0" w:color="002060"/>
              <w:left w:val="single" w:sz="12" w:space="0" w:color="002060"/>
              <w:bottom w:val="single" w:sz="12" w:space="0" w:color="002060"/>
              <w:right w:val="single" w:sz="12" w:space="0" w:color="002060"/>
            </w:tcBorders>
          </w:tcPr>
          <w:p w:rsidR="00C62A17" w:rsidRPr="004D4E8E" w:rsidRDefault="00C62A17" w:rsidP="00C62A17">
            <w:pPr>
              <w:rPr>
                <w:rStyle w:val="IntenseEmphasis"/>
              </w:rPr>
            </w:pPr>
            <w:r>
              <w:rPr>
                <w:rStyle w:val="IntenseEmphasis"/>
              </w:rPr>
              <w:lastRenderedPageBreak/>
              <w:t>Best practice</w:t>
            </w:r>
          </w:p>
          <w:p w:rsidR="00C62A17" w:rsidRDefault="00C62A17" w:rsidP="003665E6">
            <w:r>
              <w:rPr>
                <w:noProof/>
              </w:rPr>
              <w:t>UNICEF (2016)</w:t>
            </w:r>
            <w:r>
              <w:t xml:space="preserve"> documents a qualitative study that captured the voices of children with disabilities in Palestine. Including children with intellectual disabilities and their families, the study developed and used innovative participatory tools, and involved researchers and staff with specific skills to ensure that diverse methods of communication were taken into account. The study is believed to have captured some of the diversity of the needs and experiences of children with disability in Palestine better than any research has done before. </w:t>
            </w:r>
          </w:p>
        </w:tc>
      </w:tr>
    </w:tbl>
    <w:p w:rsidR="00B617CB" w:rsidRPr="00377277" w:rsidRDefault="00B617CB" w:rsidP="003665E6"/>
    <w:p w:rsidR="00B617CB" w:rsidRPr="00377277" w:rsidRDefault="00B617CB" w:rsidP="003665E6"/>
    <w:p w:rsidR="00B617CB" w:rsidRPr="00377277" w:rsidRDefault="00B617CB" w:rsidP="003665E6">
      <w:pPr>
        <w:pStyle w:val="Heading2"/>
      </w:pPr>
      <w:bookmarkStart w:id="18" w:name="_Toc500810266"/>
      <w:r w:rsidRPr="00377277">
        <w:t>3.4 Inclusive responses and services</w:t>
      </w:r>
      <w:bookmarkEnd w:id="18"/>
    </w:p>
    <w:p w:rsidR="00B617CB" w:rsidRPr="00377277" w:rsidRDefault="00B617CB" w:rsidP="003665E6">
      <w:pPr>
        <w:rPr>
          <w:szCs w:val="24"/>
        </w:rPr>
      </w:pPr>
    </w:p>
    <w:p w:rsidR="00B617CB" w:rsidRPr="00377277" w:rsidRDefault="00B617CB" w:rsidP="003665E6">
      <w:pPr>
        <w:rPr>
          <w:szCs w:val="24"/>
        </w:rPr>
      </w:pPr>
      <w:r w:rsidRPr="00377277">
        <w:rPr>
          <w:szCs w:val="24"/>
        </w:rPr>
        <w:t xml:space="preserve">During and after situations of risk, any number of players offer various forms of protection and assistance. This will include response, recovery, rehabilitation and reconstruction. Whether this humanitarian action is inclusive and accessible to people with intellectual disabilities and mental health issues depends on many factors, including the manner by which it is provided, the form it takes and what assistance is offered. </w:t>
      </w:r>
    </w:p>
    <w:p w:rsidR="00B617CB" w:rsidRPr="00377277" w:rsidRDefault="00B617CB" w:rsidP="003665E6">
      <w:pPr>
        <w:rPr>
          <w:szCs w:val="24"/>
        </w:rPr>
      </w:pPr>
    </w:p>
    <w:p w:rsidR="00B617CB" w:rsidRPr="00377277" w:rsidRDefault="00B617CB" w:rsidP="003665E6">
      <w:pPr>
        <w:pStyle w:val="Heading4"/>
      </w:pPr>
      <w:r w:rsidRPr="00377277">
        <w:t>Exclusion from provision</w:t>
      </w:r>
    </w:p>
    <w:p w:rsidR="00B617CB" w:rsidRPr="00377277" w:rsidRDefault="00B617CB" w:rsidP="003665E6">
      <w:pPr>
        <w:rPr>
          <w:szCs w:val="24"/>
        </w:rPr>
      </w:pPr>
      <w:r w:rsidRPr="00377277">
        <w:t>P</w:t>
      </w:r>
      <w:r w:rsidRPr="00377277">
        <w:rPr>
          <w:szCs w:val="24"/>
        </w:rPr>
        <w:t>eople with intellectual disabilities or mental health issues can find themselves left out by DRR or humanitarian response activities. This may be due to the way the assistance is provided, which renders it inaccessible.</w:t>
      </w:r>
      <w:r w:rsidRPr="00377277">
        <w:rPr>
          <w:rStyle w:val="FootnoteReference"/>
          <w:szCs w:val="24"/>
        </w:rPr>
        <w:footnoteReference w:id="140"/>
      </w:r>
      <w:r w:rsidRPr="00377277">
        <w:rPr>
          <w:szCs w:val="24"/>
        </w:rPr>
        <w:t xml:space="preserve"> Sometimes people are passively left behind because the approach is suited to a general population and does not cater for certain specific needs.</w:t>
      </w:r>
      <w:r w:rsidRPr="00377277">
        <w:rPr>
          <w:rStyle w:val="FootnoteReference"/>
          <w:szCs w:val="24"/>
        </w:rPr>
        <w:footnoteReference w:id="141"/>
      </w:r>
      <w:r w:rsidRPr="00377277">
        <w:rPr>
          <w:szCs w:val="24"/>
        </w:rPr>
        <w:t xml:space="preserve"> According to the </w:t>
      </w:r>
      <w:r w:rsidRPr="00377277">
        <w:rPr>
          <w:noProof/>
          <w:szCs w:val="24"/>
        </w:rPr>
        <w:t>World Bank</w:t>
      </w:r>
      <w:r w:rsidRPr="00377277">
        <w:rPr>
          <w:szCs w:val="24"/>
        </w:rPr>
        <w:t>, even when disability is considered in humanitarian response in Palestine, the focus may be primarily on physical impairment.</w:t>
      </w:r>
      <w:r w:rsidRPr="00377277">
        <w:rPr>
          <w:rStyle w:val="FootnoteReference"/>
          <w:szCs w:val="24"/>
        </w:rPr>
        <w:footnoteReference w:id="142"/>
      </w:r>
      <w:r w:rsidRPr="00377277">
        <w:rPr>
          <w:szCs w:val="24"/>
        </w:rPr>
        <w:t xml:space="preserve"> People with intellectual disability or mental health issues can find their diverse needs still overlooked.</w:t>
      </w:r>
    </w:p>
    <w:p w:rsidR="00B617CB" w:rsidRPr="00377277" w:rsidRDefault="00B617CB" w:rsidP="003665E6">
      <w:pPr>
        <w:rPr>
          <w:szCs w:val="24"/>
        </w:rPr>
      </w:pPr>
    </w:p>
    <w:p w:rsidR="00B617CB" w:rsidRPr="00377277" w:rsidRDefault="00B617CB" w:rsidP="003665E6">
      <w:pPr>
        <w:rPr>
          <w:szCs w:val="24"/>
        </w:rPr>
      </w:pPr>
      <w:r w:rsidRPr="00377277">
        <w:rPr>
          <w:szCs w:val="24"/>
        </w:rPr>
        <w:t>In situations of risk, humanitarian actors may be operating with limited resources. This creates circumstances where prioritisation takes place and hard choices are made. While logically it would seem that the most vulnerable should be prioritised in such instances, a common thread throughout the literature suggests that the opposite is true for people with intellectual disabilities or mental health issues.</w:t>
      </w:r>
      <w:r w:rsidRPr="00377277">
        <w:rPr>
          <w:rStyle w:val="FootnoteReference"/>
          <w:szCs w:val="24"/>
        </w:rPr>
        <w:footnoteReference w:id="143"/>
      </w:r>
      <w:r w:rsidRPr="00377277">
        <w:rPr>
          <w:szCs w:val="24"/>
        </w:rPr>
        <w:t xml:space="preserve"> Policy and practice at all levels can contribute to this exclusion, and it can sometimes be attributed to a misuse of power where humanitarian workers are making distribution choices, instead of decisions being made with the involvement of stakeholders and communities.</w:t>
      </w:r>
      <w:r w:rsidRPr="00377277">
        <w:rPr>
          <w:rStyle w:val="FootnoteReference"/>
          <w:szCs w:val="24"/>
        </w:rPr>
        <w:footnoteReference w:id="144"/>
      </w:r>
      <w:r w:rsidRPr="00377277">
        <w:rPr>
          <w:szCs w:val="24"/>
        </w:rPr>
        <w:t xml:space="preserve"> Again, the disability hierarchy is evident, with the war</w:t>
      </w:r>
      <w:r w:rsidR="00C62A17">
        <w:rPr>
          <w:szCs w:val="24"/>
        </w:rPr>
        <w:t>-</w:t>
      </w:r>
      <w:r w:rsidRPr="00377277">
        <w:rPr>
          <w:szCs w:val="24"/>
        </w:rPr>
        <w:t>disabled and war-traumatised attracting more resources that people with pre-existing disabilities.</w:t>
      </w:r>
      <w:r w:rsidRPr="00377277">
        <w:rPr>
          <w:rStyle w:val="FootnoteReference"/>
          <w:szCs w:val="24"/>
        </w:rPr>
        <w:footnoteReference w:id="145"/>
      </w:r>
      <w:r w:rsidRPr="00377277">
        <w:rPr>
          <w:szCs w:val="24"/>
        </w:rPr>
        <w:t xml:space="preserve"> </w:t>
      </w:r>
      <w:r w:rsidRPr="00377277">
        <w:rPr>
          <w:noProof/>
          <w:szCs w:val="24"/>
        </w:rPr>
        <w:t>Abed et al.</w:t>
      </w:r>
      <w:r w:rsidRPr="00377277">
        <w:rPr>
          <w:szCs w:val="24"/>
        </w:rPr>
        <w:t xml:space="preserve"> identified the issue of under</w:t>
      </w:r>
      <w:r w:rsidR="00C62A17">
        <w:rPr>
          <w:szCs w:val="24"/>
        </w:rPr>
        <w:t>-</w:t>
      </w:r>
      <w:r w:rsidRPr="00377277">
        <w:rPr>
          <w:szCs w:val="24"/>
        </w:rPr>
        <w:t>prioritisation of men in</w:t>
      </w:r>
      <w:r w:rsidR="00C62A17">
        <w:rPr>
          <w:szCs w:val="24"/>
        </w:rPr>
        <w:t xml:space="preserve"> </w:t>
      </w:r>
      <w:r w:rsidRPr="00377277">
        <w:rPr>
          <w:szCs w:val="24"/>
        </w:rPr>
        <w:t>mental health service provision in Gaza.</w:t>
      </w:r>
      <w:r w:rsidRPr="00377277">
        <w:rPr>
          <w:rStyle w:val="FootnoteReference"/>
          <w:szCs w:val="24"/>
        </w:rPr>
        <w:footnoteReference w:id="146"/>
      </w:r>
      <w:r w:rsidRPr="00377277">
        <w:rPr>
          <w:szCs w:val="24"/>
        </w:rPr>
        <w:t xml:space="preserve"> This raised the possibility that there is a need to target them more, especially young adult men in the context of high </w:t>
      </w:r>
      <w:r w:rsidRPr="00377277">
        <w:rPr>
          <w:szCs w:val="24"/>
        </w:rPr>
        <w:lastRenderedPageBreak/>
        <w:t xml:space="preserve">unemployment and as they navigate the cultural expectations of marriage and other obligations.  </w:t>
      </w:r>
    </w:p>
    <w:p w:rsidR="00B617CB" w:rsidRPr="00377277" w:rsidRDefault="00B617CB" w:rsidP="003665E6">
      <w:pPr>
        <w:rPr>
          <w:szCs w:val="24"/>
        </w:rPr>
      </w:pPr>
    </w:p>
    <w:p w:rsidR="00B617CB" w:rsidRPr="00377277" w:rsidRDefault="00B617CB" w:rsidP="003665E6">
      <w:pPr>
        <w:pStyle w:val="Heading4"/>
      </w:pPr>
      <w:r w:rsidRPr="00377277">
        <w:t xml:space="preserve">Mapping the population </w:t>
      </w:r>
    </w:p>
    <w:p w:rsidR="00B617CB" w:rsidRDefault="00B617CB" w:rsidP="003665E6">
      <w:pPr>
        <w:rPr>
          <w:szCs w:val="24"/>
        </w:rPr>
      </w:pPr>
      <w:r w:rsidRPr="00377277">
        <w:rPr>
          <w:noProof/>
          <w:szCs w:val="24"/>
        </w:rPr>
        <w:t>Marie et al.</w:t>
      </w:r>
      <w:r w:rsidRPr="00377277">
        <w:rPr>
          <w:szCs w:val="24"/>
        </w:rPr>
        <w:t xml:space="preserve"> and the </w:t>
      </w:r>
      <w:r w:rsidRPr="00377277">
        <w:rPr>
          <w:noProof/>
          <w:szCs w:val="24"/>
        </w:rPr>
        <w:t>World Bank</w:t>
      </w:r>
      <w:r w:rsidRPr="00377277">
        <w:rPr>
          <w:szCs w:val="24"/>
        </w:rPr>
        <w:t xml:space="preserve"> agree that mental health issues in Palestine are chronically under-reported and under-estimated, in addition to being under-resourced and under-funded.</w:t>
      </w:r>
      <w:r w:rsidRPr="00377277">
        <w:rPr>
          <w:rStyle w:val="FootnoteReference"/>
          <w:szCs w:val="24"/>
        </w:rPr>
        <w:footnoteReference w:id="147"/>
      </w:r>
      <w:r w:rsidRPr="00377277">
        <w:rPr>
          <w:szCs w:val="24"/>
        </w:rPr>
        <w:t xml:space="preserve"> Limitations of disability classification criteria can mean that people with intellectual disabilities are not adequately considered in planning and resource allocation.</w:t>
      </w:r>
      <w:r w:rsidRPr="00377277">
        <w:rPr>
          <w:rStyle w:val="FootnoteReference"/>
          <w:szCs w:val="24"/>
        </w:rPr>
        <w:footnoteReference w:id="148"/>
      </w:r>
      <w:r w:rsidRPr="00377277">
        <w:rPr>
          <w:szCs w:val="24"/>
        </w:rPr>
        <w:t xml:space="preserve"> The methods used can also inhibit identification. For example, if children with intellectual disabilities do not attend school, as is often the case in Palestine, they may be left out from data.</w:t>
      </w:r>
      <w:r w:rsidRPr="00377277">
        <w:rPr>
          <w:rStyle w:val="FootnoteReference"/>
          <w:szCs w:val="24"/>
        </w:rPr>
        <w:footnoteReference w:id="149"/>
      </w:r>
      <w:r w:rsidRPr="00377277">
        <w:rPr>
          <w:szCs w:val="24"/>
        </w:rPr>
        <w:t xml:space="preserve"> </w:t>
      </w:r>
    </w:p>
    <w:p w:rsidR="00C62A17" w:rsidRDefault="00C62A17" w:rsidP="003665E6">
      <w:pPr>
        <w:rPr>
          <w:szCs w:val="24"/>
        </w:rPr>
      </w:pPr>
    </w:p>
    <w:tbl>
      <w:tblPr>
        <w:tblStyle w:val="TableGrid"/>
        <w:tblW w:w="0" w:type="auto"/>
        <w:tblLook w:val="04A0" w:firstRow="1" w:lastRow="0" w:firstColumn="1" w:lastColumn="0" w:noHBand="0" w:noVBand="1"/>
      </w:tblPr>
      <w:tblGrid>
        <w:gridCol w:w="8996"/>
      </w:tblGrid>
      <w:tr w:rsidR="00C62A17" w:rsidTr="00C62A17">
        <w:tc>
          <w:tcPr>
            <w:tcW w:w="9016" w:type="dxa"/>
            <w:tcBorders>
              <w:top w:val="single" w:sz="12" w:space="0" w:color="002060"/>
              <w:left w:val="single" w:sz="12" w:space="0" w:color="002060"/>
              <w:bottom w:val="single" w:sz="12" w:space="0" w:color="002060"/>
              <w:right w:val="single" w:sz="12" w:space="0" w:color="002060"/>
            </w:tcBorders>
          </w:tcPr>
          <w:p w:rsidR="00C62A17" w:rsidRPr="004D4E8E" w:rsidRDefault="00C62A17" w:rsidP="00C62A17">
            <w:pPr>
              <w:rPr>
                <w:rStyle w:val="IntenseEmphasis"/>
              </w:rPr>
            </w:pPr>
            <w:r>
              <w:rPr>
                <w:rStyle w:val="IntenseEmphasis"/>
              </w:rPr>
              <w:t>Lesson learned</w:t>
            </w:r>
          </w:p>
          <w:p w:rsidR="00C62A17" w:rsidRPr="00C62A17" w:rsidRDefault="00C62A17" w:rsidP="00C62A17">
            <w:pPr>
              <w:ind w:left="584"/>
              <w:rPr>
                <w:rFonts w:ascii="Arial Narrow" w:hAnsi="Arial Narrow"/>
                <w:szCs w:val="24"/>
              </w:rPr>
            </w:pPr>
            <w:r w:rsidRPr="00C62A17">
              <w:rPr>
                <w:rFonts w:ascii="Arial Narrow" w:hAnsi="Arial Narrow"/>
                <w:szCs w:val="24"/>
              </w:rPr>
              <w:t xml:space="preserve">“In Gaza, the volatile situation renders the educational inclusion of children and youth with disabilities even more difficult with makeshift classrooms, ad hoc solutions, and severe overcrowding with as many as 45–50 pupils per classroom. …Enrolment rates for those with intellectual or mental disabilities are dramatically low and at the implementation level, inclusion often targets only children with mild and moderate disabilities” </w:t>
            </w:r>
            <w:r w:rsidRPr="00C62A17">
              <w:rPr>
                <w:rFonts w:ascii="Arial Narrow" w:hAnsi="Arial Narrow"/>
                <w:noProof/>
                <w:szCs w:val="24"/>
              </w:rPr>
              <w:t>(World Bank, 2016, p. 29)</w:t>
            </w:r>
            <w:r w:rsidRPr="00C62A17">
              <w:rPr>
                <w:rFonts w:ascii="Arial Narrow" w:hAnsi="Arial Narrow"/>
                <w:szCs w:val="24"/>
              </w:rPr>
              <w:t xml:space="preserve"> </w:t>
            </w:r>
          </w:p>
          <w:p w:rsidR="00C62A17" w:rsidRDefault="00C62A17" w:rsidP="003665E6">
            <w:pPr>
              <w:rPr>
                <w:szCs w:val="24"/>
              </w:rPr>
            </w:pPr>
            <w:r>
              <w:rPr>
                <w:szCs w:val="24"/>
              </w:rPr>
              <w:t xml:space="preserve">This has broader implications in that they are </w:t>
            </w:r>
            <w:r w:rsidRPr="00BE2A71">
              <w:t>at risk not only of missing out on education opportunities</w:t>
            </w:r>
            <w:r>
              <w:t xml:space="preserve"> and being identified in data</w:t>
            </w:r>
            <w:r w:rsidRPr="00BE2A71">
              <w:t xml:space="preserve">, but </w:t>
            </w:r>
            <w:r>
              <w:t>may</w:t>
            </w:r>
            <w:r w:rsidRPr="00BE2A71">
              <w:t xml:space="preserve"> also </w:t>
            </w:r>
            <w:r>
              <w:t xml:space="preserve">be </w:t>
            </w:r>
            <w:r w:rsidRPr="00BE2A71">
              <w:t>excluded from critical child survival initiatives, thus increasing their vulnerability</w:t>
            </w:r>
            <w:r>
              <w:rPr>
                <w:szCs w:val="24"/>
              </w:rPr>
              <w:t xml:space="preserve"> in disasters. </w:t>
            </w:r>
          </w:p>
        </w:tc>
      </w:tr>
    </w:tbl>
    <w:p w:rsidR="00C62A17" w:rsidRPr="00377277" w:rsidRDefault="00C62A17" w:rsidP="003665E6">
      <w:pPr>
        <w:rPr>
          <w:szCs w:val="24"/>
        </w:rPr>
      </w:pPr>
    </w:p>
    <w:p w:rsidR="00B617CB" w:rsidRPr="00377277" w:rsidRDefault="00B617CB" w:rsidP="003665E6">
      <w:pPr>
        <w:rPr>
          <w:szCs w:val="24"/>
        </w:rPr>
      </w:pPr>
      <w:r w:rsidRPr="00377277">
        <w:rPr>
          <w:szCs w:val="24"/>
        </w:rPr>
        <w:t>In Lebanon, it is reported that a high percentage of people with mental health issues did not know they had these issues or that mental health treatment was available.</w:t>
      </w:r>
      <w:r w:rsidRPr="00377277">
        <w:rPr>
          <w:rStyle w:val="FootnoteReference"/>
          <w:szCs w:val="24"/>
        </w:rPr>
        <w:footnoteReference w:id="150"/>
      </w:r>
      <w:r w:rsidRPr="00377277">
        <w:rPr>
          <w:szCs w:val="24"/>
        </w:rPr>
        <w:t xml:space="preserve"> Invisible disabilities are often not ‘seen’, so are assumed to not exist.</w:t>
      </w:r>
      <w:r w:rsidRPr="00377277">
        <w:rPr>
          <w:rStyle w:val="FootnoteReference"/>
          <w:szCs w:val="24"/>
        </w:rPr>
        <w:footnoteReference w:id="151"/>
      </w:r>
      <w:r w:rsidRPr="00377277">
        <w:rPr>
          <w:szCs w:val="24"/>
        </w:rPr>
        <w:t xml:space="preserve"> Further, fear and stigma may result in families ‘hiding’ people with intellectual disabilities or mental health issues from the public. There are reports of this happening in both Lebanon and Palestine.</w:t>
      </w:r>
      <w:r w:rsidRPr="00377277">
        <w:rPr>
          <w:rStyle w:val="FootnoteReference"/>
          <w:szCs w:val="24"/>
        </w:rPr>
        <w:footnoteReference w:id="152"/>
      </w:r>
      <w:r w:rsidRPr="00377277">
        <w:rPr>
          <w:szCs w:val="24"/>
        </w:rPr>
        <w:t xml:space="preserve"> In a refugee camp in Lebanon it was observed that a high rate of untreated mental health issues could often be attributed to low service utilisation and low self-perceived need for services.</w:t>
      </w:r>
      <w:r w:rsidRPr="00377277">
        <w:rPr>
          <w:rStyle w:val="FootnoteReference"/>
          <w:szCs w:val="24"/>
        </w:rPr>
        <w:footnoteReference w:id="153"/>
      </w:r>
    </w:p>
    <w:p w:rsidR="00B617CB" w:rsidRPr="00377277" w:rsidRDefault="00B617CB" w:rsidP="003665E6">
      <w:pPr>
        <w:rPr>
          <w:szCs w:val="24"/>
        </w:rPr>
      </w:pPr>
    </w:p>
    <w:p w:rsidR="00B617CB" w:rsidRPr="00377277" w:rsidRDefault="00B617CB" w:rsidP="00670C27">
      <w:pPr>
        <w:rPr>
          <w:szCs w:val="24"/>
        </w:rPr>
      </w:pPr>
      <w:r w:rsidRPr="00377277">
        <w:rPr>
          <w:szCs w:val="24"/>
        </w:rPr>
        <w:t>To address the various challenges of invisibility faced by people with intellectual disabilities and mental health issues in situations of risk, attention needs to be drawn to their existence and they need to be systematically identified.</w:t>
      </w:r>
      <w:r w:rsidRPr="00377277">
        <w:rPr>
          <w:rStyle w:val="FootnoteReference"/>
          <w:szCs w:val="24"/>
        </w:rPr>
        <w:footnoteReference w:id="154"/>
      </w:r>
      <w:r w:rsidRPr="00377277">
        <w:rPr>
          <w:szCs w:val="24"/>
        </w:rPr>
        <w:t xml:space="preserve"> </w:t>
      </w:r>
      <w:r w:rsidR="00670C27" w:rsidRPr="00C62A17">
        <w:rPr>
          <w:szCs w:val="24"/>
        </w:rPr>
        <w:t xml:space="preserve">Identification procedures must be designed in a way that protects individual privacy yet </w:t>
      </w:r>
      <w:r w:rsidR="0037244E" w:rsidRPr="00C62A17">
        <w:rPr>
          <w:szCs w:val="24"/>
        </w:rPr>
        <w:t>is</w:t>
      </w:r>
      <w:r w:rsidR="0037244E" w:rsidRPr="00377277">
        <w:rPr>
          <w:szCs w:val="24"/>
        </w:rPr>
        <w:t xml:space="preserve"> </w:t>
      </w:r>
      <w:r w:rsidR="00670C27" w:rsidRPr="00377277">
        <w:rPr>
          <w:szCs w:val="24"/>
        </w:rPr>
        <w:t xml:space="preserve">rigorous enough to promote the </w:t>
      </w:r>
      <w:r w:rsidRPr="00377277">
        <w:rPr>
          <w:szCs w:val="24"/>
        </w:rPr>
        <w:t>recognition and inclusion of people with disability and disability-focused activities in humanitarian action.</w:t>
      </w:r>
      <w:r w:rsidRPr="00377277">
        <w:rPr>
          <w:rStyle w:val="FootnoteReference"/>
          <w:szCs w:val="24"/>
        </w:rPr>
        <w:footnoteReference w:id="155"/>
      </w:r>
    </w:p>
    <w:p w:rsidR="00B617CB" w:rsidRPr="00377277" w:rsidRDefault="00B617CB" w:rsidP="003665E6">
      <w:pPr>
        <w:rPr>
          <w:szCs w:val="24"/>
        </w:rPr>
      </w:pPr>
    </w:p>
    <w:p w:rsidR="00B617CB" w:rsidRPr="00377277" w:rsidRDefault="00B617CB" w:rsidP="003665E6">
      <w:pPr>
        <w:ind w:left="567"/>
        <w:rPr>
          <w:rFonts w:ascii="Arial Narrow" w:hAnsi="Arial Narrow"/>
          <w:szCs w:val="24"/>
        </w:rPr>
      </w:pPr>
      <w:r w:rsidRPr="00377277">
        <w:rPr>
          <w:rFonts w:ascii="Arial Narrow" w:hAnsi="Arial Narrow"/>
          <w:szCs w:val="24"/>
        </w:rPr>
        <w:t xml:space="preserve">“Effective identification and good data are necessary to make the political case for redistributing resource to people with intellectual disabilities, and planning new services” </w:t>
      </w:r>
      <w:r w:rsidRPr="00377277">
        <w:rPr>
          <w:rStyle w:val="FootnoteReference"/>
          <w:rFonts w:ascii="Arial Narrow" w:hAnsi="Arial Narrow"/>
          <w:szCs w:val="24"/>
        </w:rPr>
        <w:footnoteReference w:id="156"/>
      </w:r>
    </w:p>
    <w:p w:rsidR="00B617CB" w:rsidRPr="00377277" w:rsidRDefault="00B617CB" w:rsidP="003665E6">
      <w:pPr>
        <w:pStyle w:val="Heading4"/>
      </w:pPr>
      <w:r w:rsidRPr="00377277">
        <w:lastRenderedPageBreak/>
        <w:t>Disabling provision</w:t>
      </w:r>
    </w:p>
    <w:p w:rsidR="00B617CB" w:rsidRDefault="00B617CB" w:rsidP="003665E6">
      <w:r w:rsidRPr="00377277">
        <w:t>Even when people with intellectual disabilities or mental health issues access services, the quality of the provision is often poor. Overlapping services, lack of training or specialisation, little common understanding between service providers, lack of locally gathered evidence and lack of contextualisation of approaches lead not only to inferior services, but to services which could be described as disabling.</w:t>
      </w:r>
      <w:r w:rsidRPr="00377277">
        <w:rPr>
          <w:rStyle w:val="FootnoteReference"/>
        </w:rPr>
        <w:footnoteReference w:id="157"/>
      </w:r>
      <w:r w:rsidRPr="00377277">
        <w:t xml:space="preserve"> </w:t>
      </w:r>
    </w:p>
    <w:p w:rsidR="00C62A17" w:rsidRDefault="00C62A17" w:rsidP="003665E6"/>
    <w:tbl>
      <w:tblPr>
        <w:tblStyle w:val="TableGrid"/>
        <w:tblW w:w="0" w:type="auto"/>
        <w:tblLook w:val="04A0" w:firstRow="1" w:lastRow="0" w:firstColumn="1" w:lastColumn="0" w:noHBand="0" w:noVBand="1"/>
      </w:tblPr>
      <w:tblGrid>
        <w:gridCol w:w="8996"/>
      </w:tblGrid>
      <w:tr w:rsidR="00C62A17" w:rsidTr="00C62A17">
        <w:tc>
          <w:tcPr>
            <w:tcW w:w="9016" w:type="dxa"/>
            <w:tcBorders>
              <w:top w:val="single" w:sz="12" w:space="0" w:color="002060"/>
              <w:left w:val="single" w:sz="12" w:space="0" w:color="002060"/>
              <w:bottom w:val="single" w:sz="12" w:space="0" w:color="002060"/>
              <w:right w:val="single" w:sz="12" w:space="0" w:color="002060"/>
            </w:tcBorders>
          </w:tcPr>
          <w:p w:rsidR="00C62A17" w:rsidRPr="004D4E8E" w:rsidRDefault="00C62A17" w:rsidP="00C62A17">
            <w:pPr>
              <w:pStyle w:val="Body"/>
              <w:rPr>
                <w:rStyle w:val="IntenseEmphasis"/>
              </w:rPr>
            </w:pPr>
            <w:r>
              <w:rPr>
                <w:rStyle w:val="IntenseEmphasis"/>
              </w:rPr>
              <w:t>Lesson learned</w:t>
            </w:r>
          </w:p>
          <w:p w:rsidR="00C62A17" w:rsidRPr="00C62A17" w:rsidRDefault="00C62A17" w:rsidP="00C62A17">
            <w:pPr>
              <w:pStyle w:val="Body"/>
              <w:rPr>
                <w:lang w:val="en-US"/>
              </w:rPr>
            </w:pPr>
            <w:r>
              <w:rPr>
                <w:lang w:val="en-US"/>
              </w:rPr>
              <w:t>A review of mental health services in Gaza reported a heavy concentration of specialised services and multiplication of similar services in urban areas, resulting in over-servicing for some users and lack of support for others. The majority of service providers are non-governmental or community-based organisations. The lack of coordination and government oversight has resulted in reduced opportunities for seeking complementarities and synergies and in undertaking joint training, developing a unified approach to capacity building and establishing standards of training. Most importantly, the project-based nature of the work has meant that a variety of different approaches may be used</w:t>
            </w:r>
            <w:r w:rsidR="0022045E">
              <w:rPr>
                <w:lang w:val="en-US"/>
              </w:rPr>
              <w:t>,</w:t>
            </w:r>
            <w:r>
              <w:rPr>
                <w:lang w:val="en-US"/>
              </w:rPr>
              <w:t xml:space="preserve"> often unsupported by evidence or </w:t>
            </w:r>
            <w:r w:rsidR="0022045E">
              <w:rPr>
                <w:lang w:val="en-US"/>
              </w:rPr>
              <w:t xml:space="preserve">not </w:t>
            </w:r>
            <w:r>
              <w:rPr>
                <w:lang w:val="en-US"/>
              </w:rPr>
              <w:t>utili</w:t>
            </w:r>
            <w:r w:rsidR="0022045E">
              <w:rPr>
                <w:lang w:val="en-US"/>
              </w:rPr>
              <w:t>s</w:t>
            </w:r>
            <w:r>
              <w:rPr>
                <w:lang w:val="en-US"/>
              </w:rPr>
              <w:t xml:space="preserve">ing local expertise. The report was critical of low awareness of IASC guidelines amongst </w:t>
            </w:r>
            <w:r w:rsidR="0022045E" w:rsidRPr="0022045E">
              <w:rPr>
                <w:lang w:val="en-US"/>
              </w:rPr>
              <w:t xml:space="preserve">mental health </w:t>
            </w:r>
            <w:r w:rsidR="0022045E">
              <w:rPr>
                <w:lang w:val="en-US"/>
              </w:rPr>
              <w:t>and</w:t>
            </w:r>
            <w:r w:rsidR="0022045E" w:rsidRPr="0022045E">
              <w:rPr>
                <w:lang w:val="en-US"/>
              </w:rPr>
              <w:t xml:space="preserve"> psychosocial support </w:t>
            </w:r>
            <w:r>
              <w:rPr>
                <w:lang w:val="en-US"/>
              </w:rPr>
              <w:t>actors thus making a coordinated response problematic.</w:t>
            </w:r>
            <w:r w:rsidRPr="00AF531D">
              <w:rPr>
                <w:lang w:val="en-US"/>
              </w:rPr>
              <w:t xml:space="preserve"> </w:t>
            </w:r>
            <w:r>
              <w:rPr>
                <w:noProof/>
                <w:lang w:val="en-US"/>
              </w:rPr>
              <w:t>(Abed, Bermudez, &amp; Al Far, 2010)</w:t>
            </w:r>
          </w:p>
        </w:tc>
      </w:tr>
    </w:tbl>
    <w:p w:rsidR="00C62A17" w:rsidRPr="00377277" w:rsidRDefault="00C62A17" w:rsidP="003665E6"/>
    <w:tbl>
      <w:tblPr>
        <w:tblStyle w:val="TableGrid"/>
        <w:tblW w:w="0" w:type="auto"/>
        <w:tblLook w:val="04A0" w:firstRow="1" w:lastRow="0" w:firstColumn="1" w:lastColumn="0" w:noHBand="0" w:noVBand="1"/>
      </w:tblPr>
      <w:tblGrid>
        <w:gridCol w:w="8996"/>
      </w:tblGrid>
      <w:tr w:rsidR="00C62A17" w:rsidTr="00C62A17">
        <w:tc>
          <w:tcPr>
            <w:tcW w:w="9016" w:type="dxa"/>
            <w:tcBorders>
              <w:top w:val="single" w:sz="12" w:space="0" w:color="002060"/>
              <w:left w:val="single" w:sz="12" w:space="0" w:color="002060"/>
              <w:bottom w:val="single" w:sz="12" w:space="0" w:color="002060"/>
              <w:right w:val="single" w:sz="12" w:space="0" w:color="002060"/>
            </w:tcBorders>
          </w:tcPr>
          <w:p w:rsidR="00C62A17" w:rsidRPr="004D4E8E" w:rsidRDefault="00C62A17" w:rsidP="00C62A17">
            <w:pPr>
              <w:pStyle w:val="Body"/>
              <w:rPr>
                <w:rStyle w:val="IntenseEmphasis"/>
              </w:rPr>
            </w:pPr>
            <w:r>
              <w:rPr>
                <w:rStyle w:val="IntenseEmphasis"/>
              </w:rPr>
              <w:t>Lesson learned</w:t>
            </w:r>
          </w:p>
          <w:p w:rsidR="00C62A17" w:rsidRDefault="00C62A17" w:rsidP="003665E6">
            <w:r>
              <w:t>Many children with mental health issues o</w:t>
            </w:r>
            <w:r w:rsidR="0022045E">
              <w:t>r</w:t>
            </w:r>
            <w:r>
              <w:t xml:space="preserve"> intellectual disabilities in Palestine have had their impairments misdiagnosed due to a lack of capacity and standardisation amongst service providers. The level of disability has been overestimated in order for children and their families to receive insurance and other financial benefits. The longer</w:t>
            </w:r>
            <w:r w:rsidR="0022045E">
              <w:t>-</w:t>
            </w:r>
            <w:r>
              <w:t xml:space="preserve">term impact of this has been exclusion later in life from various scholarships and educational services they could have benefited from. </w:t>
            </w:r>
            <w:r>
              <w:rPr>
                <w:noProof/>
              </w:rPr>
              <w:t>(UNICEF, 2016, p. 82)</w:t>
            </w:r>
          </w:p>
        </w:tc>
      </w:tr>
    </w:tbl>
    <w:p w:rsidR="00B617CB" w:rsidRPr="00377277" w:rsidRDefault="00B617CB" w:rsidP="003665E6"/>
    <w:p w:rsidR="00B617CB" w:rsidRPr="00377277" w:rsidRDefault="00B617CB" w:rsidP="003665E6">
      <w:r w:rsidRPr="00377277">
        <w:t>An inferior service for a person with a disability can be life-threatening.</w:t>
      </w:r>
      <w:r w:rsidRPr="00377277">
        <w:rPr>
          <w:rStyle w:val="FootnoteReference"/>
        </w:rPr>
        <w:footnoteReference w:id="158"/>
      </w:r>
      <w:r w:rsidRPr="00377277">
        <w:t xml:space="preserve"> If someone is prone to illness, malnutrition or abuse, and humanitarian responses are insufficient to respond to their needs, additional health issues can arise, and additional impairments could develop, as could new or additional mental health issues.</w:t>
      </w:r>
      <w:r w:rsidRPr="00377277">
        <w:rPr>
          <w:rStyle w:val="FootnoteReference"/>
        </w:rPr>
        <w:footnoteReference w:id="159"/>
      </w:r>
      <w:r w:rsidRPr="00377277">
        <w:t xml:space="preserve"> </w:t>
      </w:r>
    </w:p>
    <w:p w:rsidR="00B617CB" w:rsidRPr="00377277" w:rsidRDefault="00B617CB" w:rsidP="003665E6"/>
    <w:p w:rsidR="00B617CB" w:rsidRPr="00377277" w:rsidRDefault="00B617CB" w:rsidP="003665E6">
      <w:r w:rsidRPr="00377277">
        <w:t>Humanitarian actors must reflect on their practice in light of the social model to identify ways in which their service delivery is not just exclusive but actively disabling people with intellectual impairments or mental health issues.</w:t>
      </w:r>
      <w:r w:rsidRPr="00377277">
        <w:rPr>
          <w:rStyle w:val="FootnoteReference"/>
        </w:rPr>
        <w:footnoteReference w:id="160"/>
      </w:r>
      <w:r w:rsidRPr="00377277">
        <w:t xml:space="preserve"> While opportunities to access differentiated services should be protected where they are available, it is best that needs be met in an integrated way only through specialist provision.</w:t>
      </w:r>
      <w:r w:rsidRPr="00377277">
        <w:rPr>
          <w:rStyle w:val="FootnoteReference"/>
        </w:rPr>
        <w:footnoteReference w:id="161"/>
      </w:r>
      <w:r w:rsidRPr="00377277">
        <w:t xml:space="preserve"> As intellectual disability and mental health are cross-cutting issues, they cannot be addressed by specialist actions alone.</w:t>
      </w:r>
      <w:r w:rsidRPr="00377277">
        <w:rPr>
          <w:rStyle w:val="FootnoteReference"/>
        </w:rPr>
        <w:footnoteReference w:id="162"/>
      </w:r>
    </w:p>
    <w:p w:rsidR="00B617CB" w:rsidRPr="00377277" w:rsidRDefault="00B617CB" w:rsidP="003665E6"/>
    <w:p w:rsidR="00B617CB" w:rsidRDefault="00B617CB" w:rsidP="003665E6">
      <w:r w:rsidRPr="00377277">
        <w:lastRenderedPageBreak/>
        <w:t>Humanitarian actors in all sectors and locations should systematically review all aspects of their programmes to identify where they may be intensifying existing barriers or creating new barriers.</w:t>
      </w:r>
      <w:r w:rsidRPr="00377277">
        <w:rPr>
          <w:rStyle w:val="FootnoteReference"/>
        </w:rPr>
        <w:footnoteReference w:id="163"/>
      </w:r>
      <w:r w:rsidRPr="00377277">
        <w:t xml:space="preserve"> Then they should look beyond their own programmes to consider strategic cooperation and partnerships with other agencies and the community to complement or supplement their efforts. Collective and multidisciplinary action could offer more effective and efficient use of resources.</w:t>
      </w:r>
      <w:r w:rsidRPr="00377277">
        <w:rPr>
          <w:rStyle w:val="FootnoteReference"/>
        </w:rPr>
        <w:footnoteReference w:id="164"/>
      </w:r>
      <w:r w:rsidRPr="00377277">
        <w:t xml:space="preserve"> </w:t>
      </w:r>
    </w:p>
    <w:p w:rsidR="0060012D" w:rsidRDefault="0060012D" w:rsidP="003665E6"/>
    <w:tbl>
      <w:tblPr>
        <w:tblStyle w:val="TableGrid"/>
        <w:tblW w:w="0" w:type="auto"/>
        <w:tblLook w:val="04A0" w:firstRow="1" w:lastRow="0" w:firstColumn="1" w:lastColumn="0" w:noHBand="0" w:noVBand="1"/>
      </w:tblPr>
      <w:tblGrid>
        <w:gridCol w:w="8996"/>
      </w:tblGrid>
      <w:tr w:rsidR="0060012D" w:rsidTr="0060012D">
        <w:tc>
          <w:tcPr>
            <w:tcW w:w="9016" w:type="dxa"/>
            <w:tcBorders>
              <w:top w:val="single" w:sz="12" w:space="0" w:color="002060"/>
              <w:left w:val="single" w:sz="12" w:space="0" w:color="002060"/>
              <w:bottom w:val="single" w:sz="12" w:space="0" w:color="002060"/>
              <w:right w:val="single" w:sz="12" w:space="0" w:color="002060"/>
            </w:tcBorders>
          </w:tcPr>
          <w:p w:rsidR="0060012D" w:rsidRPr="0060012D" w:rsidRDefault="0060012D" w:rsidP="00CB1C31">
            <w:pPr>
              <w:rPr>
                <w:rStyle w:val="IntenseEmphasis"/>
                <w:rFonts w:ascii="Arial Narrow" w:hAnsi="Arial Narrow"/>
              </w:rPr>
            </w:pPr>
            <w:r w:rsidRPr="0060012D">
              <w:rPr>
                <w:rStyle w:val="IntenseEmphasis"/>
                <w:rFonts w:ascii="Arial Narrow" w:hAnsi="Arial Narrow"/>
              </w:rPr>
              <w:t>Lesson learned</w:t>
            </w:r>
          </w:p>
          <w:p w:rsidR="0060012D" w:rsidRPr="0060012D" w:rsidRDefault="0060012D" w:rsidP="0060012D">
            <w:pPr>
              <w:ind w:left="584"/>
              <w:rPr>
                <w:rFonts w:ascii="Arial Narrow" w:hAnsi="Arial Narrow"/>
              </w:rPr>
            </w:pPr>
            <w:r w:rsidRPr="0060012D">
              <w:rPr>
                <w:rFonts w:ascii="Arial Narrow" w:hAnsi="Arial Narrow" w:cs="Arial"/>
                <w:color w:val="000000"/>
                <w:shd w:val="clear" w:color="auto" w:fill="FFFFFF"/>
              </w:rPr>
              <w:t xml:space="preserve">“Because of the extremely fragmented way in which disability services in Palestine are delivered, with the government and UNWRA sharing space with literally hundreds of NGOs, families seeking services are effectively abandoned to their own devices to map the service landscape and arrange interventions for their children. The end result is CWDs remain largely invisible.” </w:t>
            </w:r>
            <w:r w:rsidRPr="0060012D">
              <w:rPr>
                <w:rFonts w:ascii="Arial Narrow" w:hAnsi="Arial Narrow" w:cs="Arial"/>
                <w:noProof/>
                <w:color w:val="000000"/>
                <w:shd w:val="clear" w:color="auto" w:fill="FFFFFF"/>
              </w:rPr>
              <w:t>(UNICEF, 2016)</w:t>
            </w:r>
          </w:p>
        </w:tc>
      </w:tr>
    </w:tbl>
    <w:p w:rsidR="0060012D" w:rsidRPr="00377277" w:rsidRDefault="0060012D" w:rsidP="003665E6"/>
    <w:p w:rsidR="00B617CB" w:rsidRDefault="00B617CB" w:rsidP="003665E6">
      <w:r w:rsidRPr="00377277">
        <w:t>Consideration must also be given to synergy between short-term humanitarian response and public services for the longer-term sustainability of provision.</w:t>
      </w:r>
      <w:r w:rsidRPr="00377277">
        <w:rPr>
          <w:rStyle w:val="FootnoteReference"/>
        </w:rPr>
        <w:footnoteReference w:id="165"/>
      </w:r>
      <w:r w:rsidRPr="00377277">
        <w:t xml:space="preserve"> People with intellectual disabilities are likely to require more support than just the short-term ‘reactive’ style typical of many emergency and humanitarian responses.</w:t>
      </w:r>
      <w:r w:rsidRPr="00377277">
        <w:rPr>
          <w:rStyle w:val="FootnoteReference"/>
        </w:rPr>
        <w:footnoteReference w:id="166"/>
      </w:r>
      <w:r w:rsidRPr="00377277">
        <w:t xml:space="preserve"> In terms of mental health, the effects of trauma can extend well beyond the short term. </w:t>
      </w:r>
      <w:r w:rsidR="0060012D">
        <w:t>Post-traumatic stress disorder (PTSD),</w:t>
      </w:r>
      <w:r w:rsidRPr="00377277">
        <w:t xml:space="preserve"> for example, can manifest much later.</w:t>
      </w:r>
      <w:r w:rsidRPr="00377277">
        <w:rPr>
          <w:rStyle w:val="FootnoteReference"/>
        </w:rPr>
        <w:footnoteReference w:id="167"/>
      </w:r>
    </w:p>
    <w:p w:rsidR="0060012D" w:rsidRDefault="0060012D" w:rsidP="003665E6"/>
    <w:tbl>
      <w:tblPr>
        <w:tblStyle w:val="TableGrid"/>
        <w:tblW w:w="0" w:type="auto"/>
        <w:tblLook w:val="04A0" w:firstRow="1" w:lastRow="0" w:firstColumn="1" w:lastColumn="0" w:noHBand="0" w:noVBand="1"/>
      </w:tblPr>
      <w:tblGrid>
        <w:gridCol w:w="8996"/>
      </w:tblGrid>
      <w:tr w:rsidR="0060012D" w:rsidTr="0060012D">
        <w:tc>
          <w:tcPr>
            <w:tcW w:w="9016" w:type="dxa"/>
            <w:tcBorders>
              <w:top w:val="single" w:sz="12" w:space="0" w:color="002060"/>
              <w:left w:val="single" w:sz="12" w:space="0" w:color="002060"/>
              <w:bottom w:val="single" w:sz="12" w:space="0" w:color="002060"/>
              <w:right w:val="single" w:sz="12" w:space="0" w:color="002060"/>
            </w:tcBorders>
          </w:tcPr>
          <w:p w:rsidR="0060012D" w:rsidRPr="004D4E8E" w:rsidRDefault="0060012D" w:rsidP="0060012D">
            <w:pPr>
              <w:rPr>
                <w:rStyle w:val="IntenseEmphasis"/>
              </w:rPr>
            </w:pPr>
            <w:r>
              <w:rPr>
                <w:rStyle w:val="IntenseEmphasis"/>
              </w:rPr>
              <w:t>Lesson learned</w:t>
            </w:r>
          </w:p>
          <w:p w:rsidR="0060012D" w:rsidRDefault="0060012D" w:rsidP="0060012D">
            <w:r w:rsidRPr="0060012D">
              <w:rPr>
                <w:rFonts w:cs="Arial"/>
                <w:szCs w:val="24"/>
                <w:lang w:val="en-US"/>
              </w:rPr>
              <w:t xml:space="preserve">Research conducted by Gaza Community Mental Health Program found that 30% of Gaza’s population suffer from PTSD and 10% of the population still need psychological counseling. </w:t>
            </w:r>
            <w:r w:rsidRPr="0060012D">
              <w:rPr>
                <w:rFonts w:cs="Arial"/>
                <w:noProof/>
                <w:szCs w:val="24"/>
                <w:lang w:val="en-US"/>
              </w:rPr>
              <w:t>(Gaza community health programme)</w:t>
            </w:r>
            <w:r>
              <w:rPr>
                <w:rFonts w:cs="Arial"/>
                <w:noProof/>
                <w:szCs w:val="24"/>
                <w:lang w:val="en-US"/>
              </w:rPr>
              <w:t>.</w:t>
            </w:r>
          </w:p>
        </w:tc>
      </w:tr>
    </w:tbl>
    <w:p w:rsidR="00B617CB" w:rsidRPr="00377277" w:rsidRDefault="00B617CB" w:rsidP="003665E6"/>
    <w:p w:rsidR="00B617CB" w:rsidRPr="00377277" w:rsidRDefault="00B617CB" w:rsidP="003665E6">
      <w:r w:rsidRPr="00377277">
        <w:t>The protracted refugee situation in Lebanon, and the continued daily life stressors and ongoing conflict in Palestine, where PTSD and depression can remain elevated, point to the need for longer-term support.</w:t>
      </w:r>
      <w:r w:rsidRPr="00377277">
        <w:rPr>
          <w:rStyle w:val="FootnoteReference"/>
        </w:rPr>
        <w:footnoteReference w:id="168"/>
      </w:r>
      <w:r w:rsidRPr="00377277">
        <w:t xml:space="preserve"> This must be considered carefully in these contexts where programmes are often donor driven or dependent on short-term funding.</w:t>
      </w:r>
      <w:r w:rsidRPr="00377277">
        <w:rPr>
          <w:rStyle w:val="FootnoteReference"/>
        </w:rPr>
        <w:footnoteReference w:id="169"/>
      </w:r>
    </w:p>
    <w:p w:rsidR="00B617CB" w:rsidRPr="00377277" w:rsidRDefault="00B617CB" w:rsidP="003665E6"/>
    <w:p w:rsidR="00B617CB" w:rsidRPr="00377277" w:rsidRDefault="00B617CB" w:rsidP="003665E6">
      <w:pPr>
        <w:pStyle w:val="Heading4"/>
      </w:pPr>
      <w:r w:rsidRPr="00377277">
        <w:t>Community resource</w:t>
      </w:r>
    </w:p>
    <w:p w:rsidR="00B617CB" w:rsidRPr="00377277" w:rsidRDefault="00B617CB" w:rsidP="003665E6">
      <w:r w:rsidRPr="00377277">
        <w:t>Conflicts, emergencies and disasters do not happen in a vacuum; every community has its pre-existing structures, problems and capacities.</w:t>
      </w:r>
      <w:r w:rsidRPr="00377277">
        <w:rPr>
          <w:rStyle w:val="FootnoteReference"/>
        </w:rPr>
        <w:footnoteReference w:id="170"/>
      </w:r>
      <w:r w:rsidRPr="00377277">
        <w:t xml:space="preserve"> Therefore, in addition to the importance of identifying marginalised populations, existing systems, services and capacities also need to be identified. In environments like Palestine and Lebanon, where the need is dire and the resources are spread thinly, a mapping</w:t>
      </w:r>
      <w:r w:rsidR="0060012D">
        <w:t xml:space="preserve"> </w:t>
      </w:r>
      <w:r w:rsidRPr="00377277">
        <w:t xml:space="preserve">activity is valuable for identifying which of the resources needed by people with intellectual disabilities and mental health issues are still functioning and available. Such a mapping would place high value on people with disabilities, their caregivers </w:t>
      </w:r>
      <w:r w:rsidRPr="00377277">
        <w:lastRenderedPageBreak/>
        <w:t>and their families as resources, particularly due to the often higher degree of dependence or reliance on social structures.</w:t>
      </w:r>
      <w:r w:rsidRPr="00377277">
        <w:rPr>
          <w:rStyle w:val="FootnoteReference"/>
        </w:rPr>
        <w:footnoteReference w:id="171"/>
      </w:r>
      <w:r w:rsidRPr="00377277">
        <w:t xml:space="preserve"> </w:t>
      </w:r>
    </w:p>
    <w:p w:rsidR="00B617CB" w:rsidRPr="00377277" w:rsidRDefault="00B617CB" w:rsidP="003665E6"/>
    <w:p w:rsidR="00B617CB" w:rsidRDefault="00B617CB" w:rsidP="003665E6">
      <w:r w:rsidRPr="00377277">
        <w:t>Various community-based models have been found useful and culturally relevant for supporting mental health services, such as community centres in Lebanon</w:t>
      </w:r>
      <w:r w:rsidRPr="00377277">
        <w:rPr>
          <w:rStyle w:val="FootnoteReference"/>
        </w:rPr>
        <w:footnoteReference w:id="172"/>
      </w:r>
      <w:r w:rsidRPr="00377277">
        <w:t xml:space="preserve">  and a social support group model described by </w:t>
      </w:r>
      <w:r w:rsidRPr="00377277">
        <w:rPr>
          <w:noProof/>
        </w:rPr>
        <w:t>Marie et al</w:t>
      </w:r>
      <w:r w:rsidRPr="00377277">
        <w:t>.</w:t>
      </w:r>
      <w:r w:rsidRPr="00377277">
        <w:rPr>
          <w:rStyle w:val="FootnoteReference"/>
        </w:rPr>
        <w:footnoteReference w:id="173"/>
      </w:r>
    </w:p>
    <w:p w:rsidR="0060012D" w:rsidRDefault="0060012D" w:rsidP="003665E6"/>
    <w:tbl>
      <w:tblPr>
        <w:tblStyle w:val="TableGrid"/>
        <w:tblW w:w="0" w:type="auto"/>
        <w:tblLook w:val="04A0" w:firstRow="1" w:lastRow="0" w:firstColumn="1" w:lastColumn="0" w:noHBand="0" w:noVBand="1"/>
      </w:tblPr>
      <w:tblGrid>
        <w:gridCol w:w="8996"/>
      </w:tblGrid>
      <w:tr w:rsidR="0060012D" w:rsidTr="0060012D">
        <w:tc>
          <w:tcPr>
            <w:tcW w:w="9016" w:type="dxa"/>
            <w:tcBorders>
              <w:top w:val="single" w:sz="12" w:space="0" w:color="002060"/>
              <w:left w:val="single" w:sz="12" w:space="0" w:color="002060"/>
              <w:bottom w:val="single" w:sz="12" w:space="0" w:color="002060"/>
              <w:right w:val="single" w:sz="12" w:space="0" w:color="002060"/>
            </w:tcBorders>
          </w:tcPr>
          <w:p w:rsidR="0060012D" w:rsidRPr="004D4E8E" w:rsidRDefault="0060012D" w:rsidP="0060012D">
            <w:pPr>
              <w:rPr>
                <w:rStyle w:val="IntenseEmphasis"/>
              </w:rPr>
            </w:pPr>
            <w:r w:rsidRPr="004D4E8E">
              <w:rPr>
                <w:rStyle w:val="IntenseEmphasis"/>
              </w:rPr>
              <w:t xml:space="preserve">Best </w:t>
            </w:r>
            <w:r>
              <w:rPr>
                <w:rStyle w:val="IntenseEmphasis"/>
              </w:rPr>
              <w:t>p</w:t>
            </w:r>
            <w:r w:rsidRPr="004D4E8E">
              <w:rPr>
                <w:rStyle w:val="IntenseEmphasis"/>
              </w:rPr>
              <w:t>ractice</w:t>
            </w:r>
          </w:p>
          <w:p w:rsidR="0060012D" w:rsidRPr="0060012D" w:rsidRDefault="0060012D" w:rsidP="0060012D">
            <w:pPr>
              <w:rPr>
                <w:i/>
              </w:rPr>
            </w:pPr>
            <w:r w:rsidRPr="0060012D">
              <w:rPr>
                <w:i/>
              </w:rPr>
              <w:t>Community centre model – Lebanon</w:t>
            </w:r>
          </w:p>
          <w:p w:rsidR="0060012D" w:rsidRDefault="0060012D" w:rsidP="0060012D">
            <w:r>
              <w:t xml:space="preserve">With the sheer scale of the population of displaced people and their dispersion throughout Lebanon, a community centre model seeks to mobilise communities so that they can better address their own needs and the community they represent. A centre provides a physical space for identifying needs and for group-based support services and recreation. </w:t>
            </w:r>
            <w:r>
              <w:rPr>
                <w:noProof/>
              </w:rPr>
              <w:t>(United Nations, 2013)</w:t>
            </w:r>
          </w:p>
          <w:p w:rsidR="0060012D" w:rsidRDefault="0060012D" w:rsidP="0060012D"/>
          <w:p w:rsidR="0060012D" w:rsidRPr="0060012D" w:rsidRDefault="0060012D" w:rsidP="0060012D">
            <w:pPr>
              <w:rPr>
                <w:i/>
              </w:rPr>
            </w:pPr>
            <w:r w:rsidRPr="0060012D">
              <w:rPr>
                <w:i/>
              </w:rPr>
              <w:t>Social support group model – Palestine</w:t>
            </w:r>
          </w:p>
          <w:p w:rsidR="0060012D" w:rsidRDefault="0060012D" w:rsidP="003665E6">
            <w:r>
              <w:t xml:space="preserve">It is </w:t>
            </w:r>
            <w:r>
              <w:rPr>
                <w:lang w:val="en-US"/>
              </w:rPr>
              <w:t xml:space="preserve">explained that exposure to trauma and violence in the Palestinian context is interpreted according to collective meanings rather than as individual experiences. Individuals in this culture prefer to seek help from friends and family members, providing an opportunity for interventions to focus on social support group models to </w:t>
            </w:r>
            <w:r>
              <w:t>impro</w:t>
            </w:r>
            <w:r>
              <w:rPr>
                <w:lang w:val="en-US"/>
              </w:rPr>
              <w:t xml:space="preserve">ve the capacity of the whole community rather than on approaches based on individual treatments. </w:t>
            </w:r>
            <w:r>
              <w:rPr>
                <w:noProof/>
                <w:lang w:val="en-US"/>
              </w:rPr>
              <w:t>(Marie, Hannigan, &amp; Jones, 2016)</w:t>
            </w:r>
          </w:p>
        </w:tc>
      </w:tr>
    </w:tbl>
    <w:p w:rsidR="0060012D" w:rsidRPr="00377277" w:rsidRDefault="0060012D" w:rsidP="003665E6"/>
    <w:p w:rsidR="00B617CB" w:rsidRDefault="00B617CB" w:rsidP="003665E6">
      <w:r w:rsidRPr="00377277">
        <w:t>These methods recognise a preference in both Palestine and Lebanon for community-based and collective supports rather than individual treatments. Although humanitarian action is often regarded as requiring technical expertise, in reality, people who are community resources can also be offered training in some specialist skills (such as psychological first aid).</w:t>
      </w:r>
      <w:r w:rsidRPr="00377277">
        <w:rPr>
          <w:rStyle w:val="FootnoteReference"/>
        </w:rPr>
        <w:footnoteReference w:id="174"/>
      </w:r>
      <w:r w:rsidRPr="00377277">
        <w:t xml:space="preserve"> </w:t>
      </w:r>
    </w:p>
    <w:p w:rsidR="0060012D" w:rsidRDefault="0060012D" w:rsidP="003665E6"/>
    <w:tbl>
      <w:tblPr>
        <w:tblStyle w:val="TableGrid"/>
        <w:tblW w:w="0" w:type="auto"/>
        <w:tblLook w:val="04A0" w:firstRow="1" w:lastRow="0" w:firstColumn="1" w:lastColumn="0" w:noHBand="0" w:noVBand="1"/>
      </w:tblPr>
      <w:tblGrid>
        <w:gridCol w:w="8996"/>
      </w:tblGrid>
      <w:tr w:rsidR="0060012D" w:rsidTr="0060012D">
        <w:tc>
          <w:tcPr>
            <w:tcW w:w="9016" w:type="dxa"/>
            <w:tcBorders>
              <w:top w:val="single" w:sz="12" w:space="0" w:color="002060"/>
              <w:left w:val="single" w:sz="12" w:space="0" w:color="002060"/>
              <w:bottom w:val="single" w:sz="12" w:space="0" w:color="002060"/>
              <w:right w:val="single" w:sz="12" w:space="0" w:color="002060"/>
            </w:tcBorders>
          </w:tcPr>
          <w:p w:rsidR="0060012D" w:rsidRPr="004D4E8E" w:rsidRDefault="0060012D" w:rsidP="0060012D">
            <w:pPr>
              <w:rPr>
                <w:rStyle w:val="IntenseEmphasis"/>
              </w:rPr>
            </w:pPr>
            <w:r>
              <w:rPr>
                <w:rStyle w:val="IntenseEmphasis"/>
              </w:rPr>
              <w:t>Best practice</w:t>
            </w:r>
          </w:p>
          <w:p w:rsidR="0060012D" w:rsidRDefault="0060012D" w:rsidP="003665E6">
            <w:r w:rsidRPr="00E64670">
              <w:t>A number of community-based groups provide community and family therapy program</w:t>
            </w:r>
            <w:r>
              <w:t xml:space="preserve">mes in Gaza. </w:t>
            </w:r>
            <w:r w:rsidRPr="00E64670">
              <w:t>Palestine Trauma Centre</w:t>
            </w:r>
            <w:r>
              <w:t xml:space="preserve"> is</w:t>
            </w:r>
            <w:r w:rsidRPr="00E64670">
              <w:t xml:space="preserve"> proactively</w:t>
            </w:r>
            <w:r>
              <w:t xml:space="preserve"> emphasising</w:t>
            </w:r>
            <w:r w:rsidRPr="00E64670">
              <w:t xml:space="preserve"> advocacy and raising awareness around mental health issues in G</w:t>
            </w:r>
            <w:r>
              <w:t>aza.</w:t>
            </w:r>
            <w:r w:rsidRPr="00E64670">
              <w:t xml:space="preserve"> </w:t>
            </w:r>
            <w:r>
              <w:rPr>
                <w:noProof/>
              </w:rPr>
              <w:t>(Palestine Trauma Centre UK)</w:t>
            </w:r>
          </w:p>
        </w:tc>
      </w:tr>
    </w:tbl>
    <w:p w:rsidR="0060012D" w:rsidRPr="00377277" w:rsidRDefault="0060012D" w:rsidP="003665E6"/>
    <w:p w:rsidR="00B617CB" w:rsidRPr="00377277" w:rsidRDefault="00B617CB" w:rsidP="003665E6"/>
    <w:p w:rsidR="00B617CB" w:rsidRPr="00377277" w:rsidRDefault="00B617CB" w:rsidP="003665E6">
      <w:pPr>
        <w:pStyle w:val="Heading2"/>
      </w:pPr>
      <w:bookmarkStart w:id="19" w:name="_Toc500810267"/>
      <w:r w:rsidRPr="00377277">
        <w:t>3.5 Non-discrimination</w:t>
      </w:r>
      <w:bookmarkEnd w:id="19"/>
    </w:p>
    <w:p w:rsidR="00B617CB" w:rsidRPr="00377277" w:rsidRDefault="00B617CB" w:rsidP="003665E6"/>
    <w:p w:rsidR="00B617CB" w:rsidRPr="00377277" w:rsidRDefault="00B617CB" w:rsidP="003665E6">
      <w:pPr>
        <w:rPr>
          <w:szCs w:val="24"/>
        </w:rPr>
      </w:pPr>
      <w:r w:rsidRPr="00377277">
        <w:rPr>
          <w:szCs w:val="24"/>
        </w:rPr>
        <w:t xml:space="preserve">A common message throughout the literature is about the power of attitudes to enable and disable, to include and exclude, to build resilience and to render vulnerable. </w:t>
      </w:r>
      <w:r w:rsidR="0060012D">
        <w:rPr>
          <w:szCs w:val="24"/>
        </w:rPr>
        <w:t>Clearly</w:t>
      </w:r>
      <w:r w:rsidRPr="00377277">
        <w:rPr>
          <w:szCs w:val="24"/>
        </w:rPr>
        <w:t xml:space="preserve"> the increased risk, lower resilience, and limited assistance experienced by people with intellectual disabilities and mental health issues has very little to do with the nature of their impairments and everything to do with the way they are perceived. Literature, both internationally and specific to Palestine and Lebanon, </w:t>
      </w:r>
      <w:r w:rsidRPr="00377277">
        <w:rPr>
          <w:szCs w:val="24"/>
        </w:rPr>
        <w:lastRenderedPageBreak/>
        <w:t xml:space="preserve">demonstrates that the public perception is predominantly negative due to misconceptions, lack of knowledge or prejudice. </w:t>
      </w:r>
    </w:p>
    <w:p w:rsidR="00B617CB" w:rsidRPr="00377277" w:rsidRDefault="00B617CB" w:rsidP="003665E6">
      <w:pPr>
        <w:rPr>
          <w:szCs w:val="24"/>
        </w:rPr>
      </w:pPr>
    </w:p>
    <w:p w:rsidR="00B617CB" w:rsidRPr="00377277" w:rsidRDefault="00B617CB" w:rsidP="003665E6">
      <w:pPr>
        <w:pStyle w:val="Heading4"/>
      </w:pPr>
      <w:r w:rsidRPr="00377277">
        <w:t>Misconceptions</w:t>
      </w:r>
    </w:p>
    <w:p w:rsidR="00B617CB" w:rsidRPr="00377277" w:rsidRDefault="00B617CB" w:rsidP="003665E6">
      <w:pPr>
        <w:rPr>
          <w:szCs w:val="24"/>
        </w:rPr>
      </w:pPr>
      <w:r w:rsidRPr="00377277">
        <w:rPr>
          <w:szCs w:val="24"/>
        </w:rPr>
        <w:t>Misconceptions identified in Palestine include the assumption that those with intellectual disabilities are incapable and not able to add much value to communities.</w:t>
      </w:r>
      <w:r w:rsidRPr="00377277">
        <w:rPr>
          <w:rStyle w:val="FootnoteReference"/>
          <w:szCs w:val="24"/>
        </w:rPr>
        <w:footnoteReference w:id="175"/>
      </w:r>
      <w:r w:rsidRPr="00377277">
        <w:rPr>
          <w:szCs w:val="24"/>
        </w:rPr>
        <w:t xml:space="preserve"> The </w:t>
      </w:r>
      <w:r w:rsidRPr="00377277">
        <w:rPr>
          <w:noProof/>
          <w:szCs w:val="24"/>
        </w:rPr>
        <w:t xml:space="preserve">World Bank </w:t>
      </w:r>
      <w:r w:rsidRPr="00377277">
        <w:rPr>
          <w:szCs w:val="24"/>
        </w:rPr>
        <w:t>also notes inaccurate concerns about the cost and difficulty of inclusion.</w:t>
      </w:r>
      <w:r w:rsidRPr="00377277">
        <w:rPr>
          <w:rStyle w:val="FootnoteReference"/>
          <w:szCs w:val="24"/>
        </w:rPr>
        <w:footnoteReference w:id="176"/>
      </w:r>
      <w:r w:rsidRPr="00377277">
        <w:rPr>
          <w:szCs w:val="24"/>
        </w:rPr>
        <w:t xml:space="preserve"> </w:t>
      </w:r>
    </w:p>
    <w:p w:rsidR="00B617CB" w:rsidRPr="00377277" w:rsidRDefault="00B617CB" w:rsidP="003665E6">
      <w:pPr>
        <w:rPr>
          <w:szCs w:val="24"/>
        </w:rPr>
      </w:pPr>
    </w:p>
    <w:p w:rsidR="00B617CB" w:rsidRPr="00377277" w:rsidRDefault="00B617CB" w:rsidP="003665E6">
      <w:pPr>
        <w:rPr>
          <w:szCs w:val="24"/>
        </w:rPr>
      </w:pPr>
      <w:r w:rsidRPr="00377277">
        <w:rPr>
          <w:szCs w:val="24"/>
        </w:rPr>
        <w:t>Misconceptions can begin from a lack of information.</w:t>
      </w:r>
      <w:r w:rsidRPr="00377277">
        <w:rPr>
          <w:rStyle w:val="FootnoteReference"/>
          <w:szCs w:val="24"/>
        </w:rPr>
        <w:footnoteReference w:id="177"/>
      </w:r>
      <w:r w:rsidRPr="00377277">
        <w:rPr>
          <w:szCs w:val="24"/>
        </w:rPr>
        <w:t xml:space="preserve"> Stereotyping people based on their impairment, or presuming to know what their capabilities are is a misconception when dealing with a diverse spectrum of experiences of disability intersecting with various other combinations of challenges.</w:t>
      </w:r>
      <w:r w:rsidRPr="00377277">
        <w:rPr>
          <w:rStyle w:val="FootnoteReference"/>
          <w:szCs w:val="24"/>
        </w:rPr>
        <w:footnoteReference w:id="178"/>
      </w:r>
      <w:r w:rsidRPr="00377277">
        <w:rPr>
          <w:szCs w:val="24"/>
        </w:rPr>
        <w:t xml:space="preserve"> </w:t>
      </w:r>
      <w:r w:rsidRPr="00377277">
        <w:rPr>
          <w:noProof/>
          <w:szCs w:val="24"/>
        </w:rPr>
        <w:t xml:space="preserve">Clegg and Bigby </w:t>
      </w:r>
      <w:r w:rsidRPr="00377277">
        <w:rPr>
          <w:szCs w:val="24"/>
        </w:rPr>
        <w:t>suggest that people shy away when they encounter the “unpredictable mix of expected and unexpected abilities”.</w:t>
      </w:r>
      <w:r w:rsidRPr="00377277">
        <w:rPr>
          <w:rStyle w:val="FootnoteReference"/>
          <w:szCs w:val="24"/>
        </w:rPr>
        <w:footnoteReference w:id="179"/>
      </w:r>
      <w:r w:rsidRPr="00377277">
        <w:rPr>
          <w:szCs w:val="24"/>
        </w:rPr>
        <w:t xml:space="preserve"> This leads to fear, avoidance and then prejudice.</w:t>
      </w:r>
      <w:r w:rsidRPr="00377277">
        <w:rPr>
          <w:rStyle w:val="FootnoteReference"/>
          <w:szCs w:val="24"/>
        </w:rPr>
        <w:footnoteReference w:id="180"/>
      </w:r>
      <w:r w:rsidRPr="00377277">
        <w:rPr>
          <w:szCs w:val="24"/>
        </w:rPr>
        <w:t xml:space="preserve"> Prejudice – a preconceived opinion or pre-judgement not based on reason or experience – becomes entrenched in society and manifests as stigma and discrimination.</w:t>
      </w:r>
    </w:p>
    <w:p w:rsidR="00B617CB" w:rsidRPr="00377277" w:rsidRDefault="00B617CB" w:rsidP="003665E6">
      <w:pPr>
        <w:rPr>
          <w:szCs w:val="24"/>
        </w:rPr>
      </w:pPr>
    </w:p>
    <w:p w:rsidR="00B617CB" w:rsidRPr="00377277" w:rsidRDefault="00B617CB" w:rsidP="003665E6">
      <w:pPr>
        <w:pStyle w:val="Heading4"/>
      </w:pPr>
      <w:r w:rsidRPr="00377277">
        <w:t>Stigma</w:t>
      </w:r>
    </w:p>
    <w:p w:rsidR="00B617CB" w:rsidRPr="00377277" w:rsidRDefault="00B617CB" w:rsidP="003665E6">
      <w:pPr>
        <w:rPr>
          <w:szCs w:val="24"/>
        </w:rPr>
      </w:pPr>
      <w:r w:rsidRPr="00377277">
        <w:rPr>
          <w:szCs w:val="24"/>
        </w:rPr>
        <w:t>A number of sources confirm the high levels of stigma attached to both intellectual disability and mental health issues in Lebanon and Palestine.</w:t>
      </w:r>
      <w:r w:rsidRPr="00377277">
        <w:rPr>
          <w:rStyle w:val="FootnoteReference"/>
          <w:szCs w:val="24"/>
        </w:rPr>
        <w:footnoteReference w:id="181"/>
      </w:r>
      <w:r w:rsidRPr="00377277">
        <w:rPr>
          <w:szCs w:val="24"/>
        </w:rPr>
        <w:t xml:space="preserve"> </w:t>
      </w:r>
    </w:p>
    <w:p w:rsidR="00B617CB" w:rsidRDefault="00B617CB" w:rsidP="003665E6">
      <w:pPr>
        <w:rPr>
          <w:szCs w:val="24"/>
        </w:rPr>
      </w:pPr>
    </w:p>
    <w:tbl>
      <w:tblPr>
        <w:tblStyle w:val="TableGrid"/>
        <w:tblW w:w="0" w:type="auto"/>
        <w:tblLook w:val="04A0" w:firstRow="1" w:lastRow="0" w:firstColumn="1" w:lastColumn="0" w:noHBand="0" w:noVBand="1"/>
      </w:tblPr>
      <w:tblGrid>
        <w:gridCol w:w="8996"/>
      </w:tblGrid>
      <w:tr w:rsidR="0060012D" w:rsidTr="0060012D">
        <w:tc>
          <w:tcPr>
            <w:tcW w:w="9016" w:type="dxa"/>
            <w:tcBorders>
              <w:top w:val="single" w:sz="12" w:space="0" w:color="002060"/>
              <w:left w:val="single" w:sz="12" w:space="0" w:color="002060"/>
              <w:bottom w:val="single" w:sz="12" w:space="0" w:color="002060"/>
              <w:right w:val="single" w:sz="12" w:space="0" w:color="002060"/>
            </w:tcBorders>
          </w:tcPr>
          <w:p w:rsidR="0060012D" w:rsidRPr="00C508F8" w:rsidRDefault="0060012D" w:rsidP="0060012D">
            <w:pPr>
              <w:rPr>
                <w:rStyle w:val="IntenseEmphasis"/>
              </w:rPr>
            </w:pPr>
            <w:r>
              <w:rPr>
                <w:rStyle w:val="IntenseEmphasis"/>
              </w:rPr>
              <w:t>Best practice</w:t>
            </w:r>
          </w:p>
          <w:p w:rsidR="0060012D" w:rsidRPr="0060012D" w:rsidRDefault="0060012D" w:rsidP="0060012D">
            <w:pPr>
              <w:ind w:left="584"/>
              <w:rPr>
                <w:rFonts w:ascii="Arial Narrow" w:hAnsi="Arial Narrow"/>
              </w:rPr>
            </w:pPr>
            <w:r w:rsidRPr="0060012D">
              <w:rPr>
                <w:rFonts w:ascii="Arial Narrow" w:hAnsi="Arial Narrow" w:cs="Arial"/>
                <w:color w:val="000000"/>
                <w:shd w:val="clear" w:color="auto" w:fill="FFFFFF"/>
              </w:rPr>
              <w:t>“Stigma is prevalent in the [Palestine] community and in some instances even inside the home,</w:t>
            </w:r>
            <w:r w:rsidR="00CB1C31">
              <w:rPr>
                <w:rFonts w:ascii="Arial Narrow" w:hAnsi="Arial Narrow" w:cs="Arial"/>
                <w:color w:val="000000"/>
                <w:shd w:val="clear" w:color="auto" w:fill="FFFFFF"/>
              </w:rPr>
              <w:t xml:space="preserve"> </w:t>
            </w:r>
            <w:r w:rsidRPr="0060012D">
              <w:rPr>
                <w:rFonts w:ascii="Arial Narrow" w:hAnsi="Arial Narrow" w:cs="Arial"/>
                <w:color w:val="000000"/>
                <w:shd w:val="clear" w:color="auto" w:fill="FFFFFF"/>
              </w:rPr>
              <w:t xml:space="preserve">… yet, we witness transformational results when children benefit from appropriately tailored health care and inclusive education systems”. </w:t>
            </w:r>
            <w:r w:rsidRPr="0060012D">
              <w:rPr>
                <w:rFonts w:ascii="Arial Narrow" w:hAnsi="Arial Narrow" w:cs="Arial"/>
                <w:noProof/>
                <w:color w:val="000000"/>
                <w:shd w:val="clear" w:color="auto" w:fill="FFFFFF"/>
              </w:rPr>
              <w:t>(UNICEF, 2016)</w:t>
            </w:r>
          </w:p>
        </w:tc>
      </w:tr>
    </w:tbl>
    <w:p w:rsidR="00B617CB" w:rsidRPr="00377277" w:rsidRDefault="00B617CB" w:rsidP="003665E6">
      <w:pPr>
        <w:rPr>
          <w:szCs w:val="24"/>
        </w:rPr>
      </w:pPr>
    </w:p>
    <w:p w:rsidR="00B617CB" w:rsidRPr="00377277" w:rsidRDefault="00B617CB" w:rsidP="003665E6">
      <w:pPr>
        <w:rPr>
          <w:szCs w:val="24"/>
        </w:rPr>
      </w:pPr>
      <w:r w:rsidRPr="00377277">
        <w:rPr>
          <w:szCs w:val="24"/>
        </w:rPr>
        <w:t>The stigma noted in these countries, however, is not unlike that found in other countries.</w:t>
      </w:r>
      <w:r w:rsidRPr="00377277">
        <w:rPr>
          <w:rStyle w:val="FootnoteReference"/>
          <w:szCs w:val="24"/>
        </w:rPr>
        <w:footnoteReference w:id="182"/>
      </w:r>
      <w:r w:rsidRPr="00377277">
        <w:rPr>
          <w:szCs w:val="24"/>
        </w:rPr>
        <w:t xml:space="preserve"> Other authors point out that stigma and discrimination are found at all levels, including among staff of organisations, donors, aid workers and government officials.</w:t>
      </w:r>
      <w:r w:rsidRPr="00377277">
        <w:rPr>
          <w:rStyle w:val="FootnoteReference"/>
          <w:szCs w:val="24"/>
        </w:rPr>
        <w:footnoteReference w:id="183"/>
      </w:r>
      <w:r w:rsidRPr="00377277">
        <w:rPr>
          <w:szCs w:val="24"/>
        </w:rPr>
        <w:t xml:space="preserve"> As </w:t>
      </w:r>
      <w:r w:rsidRPr="00377277">
        <w:rPr>
          <w:noProof/>
          <w:szCs w:val="24"/>
        </w:rPr>
        <w:t>Rohwerder</w:t>
      </w:r>
      <w:r w:rsidRPr="00377277">
        <w:rPr>
          <w:szCs w:val="24"/>
        </w:rPr>
        <w:t xml:space="preserve"> recognised, humanitarian workers are all still products of their societies.</w:t>
      </w:r>
      <w:r w:rsidRPr="00377277">
        <w:rPr>
          <w:rStyle w:val="FootnoteReference"/>
          <w:szCs w:val="24"/>
        </w:rPr>
        <w:footnoteReference w:id="184"/>
      </w:r>
      <w:r w:rsidRPr="00377277">
        <w:rPr>
          <w:szCs w:val="24"/>
        </w:rPr>
        <w:t xml:space="preserve"> Indeed, aid workers from different countries can bring with them cultural backgrounds with even more variations of discrimination than the host society.</w:t>
      </w:r>
      <w:r w:rsidRPr="00377277">
        <w:rPr>
          <w:rStyle w:val="FootnoteReference"/>
          <w:szCs w:val="24"/>
        </w:rPr>
        <w:footnoteReference w:id="185"/>
      </w:r>
      <w:r w:rsidRPr="00377277">
        <w:rPr>
          <w:szCs w:val="24"/>
        </w:rPr>
        <w:t xml:space="preserve"> </w:t>
      </w:r>
    </w:p>
    <w:p w:rsidR="00B617CB" w:rsidRPr="00377277" w:rsidRDefault="00B617CB" w:rsidP="003665E6">
      <w:pPr>
        <w:rPr>
          <w:szCs w:val="24"/>
        </w:rPr>
      </w:pPr>
    </w:p>
    <w:p w:rsidR="00B617CB" w:rsidRPr="00377277" w:rsidRDefault="00B617CB" w:rsidP="003665E6">
      <w:pPr>
        <w:pStyle w:val="Heading4"/>
      </w:pPr>
      <w:r w:rsidRPr="00377277">
        <w:lastRenderedPageBreak/>
        <w:t>Changing attitudes</w:t>
      </w:r>
    </w:p>
    <w:p w:rsidR="00B617CB" w:rsidRPr="00377277" w:rsidRDefault="00B617CB" w:rsidP="003665E6">
      <w:pPr>
        <w:rPr>
          <w:szCs w:val="24"/>
        </w:rPr>
      </w:pPr>
      <w:r w:rsidRPr="00377277">
        <w:rPr>
          <w:szCs w:val="24"/>
        </w:rPr>
        <w:t>History tells us that discrimination against disability has always been evident. This, however, does not make it inevitable nor entirely resistant to change.</w:t>
      </w:r>
      <w:r w:rsidRPr="00377277">
        <w:rPr>
          <w:rStyle w:val="FootnoteReference"/>
          <w:szCs w:val="24"/>
        </w:rPr>
        <w:footnoteReference w:id="186"/>
      </w:r>
      <w:r w:rsidRPr="00377277">
        <w:rPr>
          <w:szCs w:val="24"/>
        </w:rPr>
        <w:t xml:space="preserve"> Some authors recognise the unique opportunity within the context of humanitarian action for new ideas, inputs and experience to be taken back into the rebuilding of communities. The “build back better” concepts can apply to social structures and attitudes just as much as to the physical environment.</w:t>
      </w:r>
      <w:r w:rsidRPr="00377277">
        <w:rPr>
          <w:rStyle w:val="FootnoteReference"/>
          <w:szCs w:val="24"/>
        </w:rPr>
        <w:footnoteReference w:id="187"/>
      </w:r>
      <w:r w:rsidRPr="00377277">
        <w:rPr>
          <w:szCs w:val="24"/>
        </w:rPr>
        <w:t xml:space="preserve"> The principles of </w:t>
      </w:r>
      <w:r w:rsidR="00CB1C31">
        <w:rPr>
          <w:szCs w:val="24"/>
        </w:rPr>
        <w:t>u</w:t>
      </w:r>
      <w:r w:rsidRPr="00377277">
        <w:rPr>
          <w:szCs w:val="24"/>
        </w:rPr>
        <w:t xml:space="preserve">niversal </w:t>
      </w:r>
      <w:r w:rsidR="00CB1C31">
        <w:rPr>
          <w:szCs w:val="24"/>
        </w:rPr>
        <w:t>d</w:t>
      </w:r>
      <w:r w:rsidRPr="00377277">
        <w:rPr>
          <w:szCs w:val="24"/>
        </w:rPr>
        <w:t>esign for building environments and products that are inherently accessible can apply to people with intellectual disabilities and mental health issues as much as they do to physical and sensory impairment. The building of societies both in the post disaster/conflict future and in the affected communities can use universal design principles for the removal of barriers in social, institutional and attitudinal structures.</w:t>
      </w:r>
      <w:r w:rsidRPr="00377277">
        <w:rPr>
          <w:rStyle w:val="FootnoteReference"/>
          <w:szCs w:val="24"/>
        </w:rPr>
        <w:footnoteReference w:id="188"/>
      </w:r>
    </w:p>
    <w:p w:rsidR="00B617CB" w:rsidRPr="00377277" w:rsidRDefault="00B617CB" w:rsidP="003665E6">
      <w:pPr>
        <w:rPr>
          <w:szCs w:val="24"/>
        </w:rPr>
      </w:pPr>
    </w:p>
    <w:p w:rsidR="00B617CB" w:rsidRPr="00377277" w:rsidRDefault="00B617CB" w:rsidP="003665E6">
      <w:pPr>
        <w:rPr>
          <w:szCs w:val="24"/>
        </w:rPr>
      </w:pPr>
      <w:r w:rsidRPr="00377277">
        <w:rPr>
          <w:szCs w:val="24"/>
        </w:rPr>
        <w:t>Awareness-raising is the obvious tool for combating negative attitudes. Awareness and advocacy for transforming attitudes begins with visibility.</w:t>
      </w:r>
      <w:r w:rsidRPr="00377277">
        <w:rPr>
          <w:rStyle w:val="FootnoteReference"/>
          <w:szCs w:val="24"/>
        </w:rPr>
        <w:footnoteReference w:id="189"/>
      </w:r>
      <w:r w:rsidRPr="00377277">
        <w:rPr>
          <w:szCs w:val="24"/>
        </w:rPr>
        <w:t xml:space="preserve"> It is harder to remember to factor in a group of people who seem to be invisible.</w:t>
      </w:r>
      <w:r w:rsidRPr="00377277">
        <w:rPr>
          <w:rStyle w:val="FootnoteReference"/>
          <w:szCs w:val="24"/>
        </w:rPr>
        <w:footnoteReference w:id="190"/>
      </w:r>
      <w:r w:rsidRPr="00377277">
        <w:rPr>
          <w:szCs w:val="24"/>
        </w:rPr>
        <w:t xml:space="preserve"> Visibility in the community, such as in schools through inclusive education, allows for meaningful interaction.</w:t>
      </w:r>
      <w:r w:rsidRPr="00377277">
        <w:rPr>
          <w:rStyle w:val="FootnoteReference"/>
          <w:szCs w:val="24"/>
        </w:rPr>
        <w:footnoteReference w:id="191"/>
      </w:r>
      <w:r w:rsidRPr="00377277">
        <w:rPr>
          <w:szCs w:val="24"/>
        </w:rPr>
        <w:t xml:space="preserve"> Visibility is further increased when data is collected, when people receive training about diverse disabilities, when common understandings are developed, but most of all, when people with disabilities organise themselves and raise their own profile.</w:t>
      </w:r>
      <w:r w:rsidRPr="00377277">
        <w:rPr>
          <w:rStyle w:val="FootnoteReference"/>
          <w:szCs w:val="24"/>
        </w:rPr>
        <w:footnoteReference w:id="192"/>
      </w:r>
      <w:r w:rsidRPr="00377277">
        <w:rPr>
          <w:szCs w:val="24"/>
        </w:rPr>
        <w:t xml:space="preserve"> Voice and self-advocacy can be powerful and effective. DPOs can be supported to advocate and put their issues on the political and humanitarian policy agenda.</w:t>
      </w:r>
      <w:r w:rsidRPr="00377277">
        <w:rPr>
          <w:rStyle w:val="FootnoteReference"/>
          <w:szCs w:val="24"/>
        </w:rPr>
        <w:footnoteReference w:id="193"/>
      </w:r>
      <w:r w:rsidRPr="00377277">
        <w:rPr>
          <w:szCs w:val="24"/>
        </w:rPr>
        <w:t xml:space="preserve"> </w:t>
      </w:r>
      <w:r w:rsidRPr="00377277">
        <w:rPr>
          <w:noProof/>
          <w:szCs w:val="24"/>
        </w:rPr>
        <w:t>Klynman et al.</w:t>
      </w:r>
      <w:r w:rsidRPr="00377277">
        <w:rPr>
          <w:szCs w:val="24"/>
        </w:rPr>
        <w:t xml:space="preserve"> point out that while few emergency personnel have training in disability inclusion, the people with disabilities should always be considered as the experts and asked about the best way to assist them.</w:t>
      </w:r>
      <w:r w:rsidRPr="00377277">
        <w:rPr>
          <w:rStyle w:val="FootnoteReference"/>
          <w:szCs w:val="24"/>
        </w:rPr>
        <w:footnoteReference w:id="194"/>
      </w:r>
      <w:r w:rsidRPr="00377277">
        <w:rPr>
          <w:szCs w:val="24"/>
        </w:rPr>
        <w:t xml:space="preserve"> </w:t>
      </w:r>
    </w:p>
    <w:p w:rsidR="00B617CB" w:rsidRPr="00377277" w:rsidRDefault="00B617CB" w:rsidP="003665E6">
      <w:pPr>
        <w:rPr>
          <w:szCs w:val="24"/>
        </w:rPr>
      </w:pPr>
    </w:p>
    <w:p w:rsidR="00B617CB" w:rsidRPr="00377277" w:rsidRDefault="00B617CB" w:rsidP="003665E6">
      <w:pPr>
        <w:rPr>
          <w:szCs w:val="24"/>
        </w:rPr>
      </w:pPr>
      <w:r w:rsidRPr="00377277">
        <w:rPr>
          <w:szCs w:val="24"/>
        </w:rPr>
        <w:t>Disability inclusion is not a new concept in DRR and humanitarian action. The IASC guidelines on mental support and psychological support were published in 2007.</w:t>
      </w:r>
      <w:r w:rsidRPr="00377277">
        <w:rPr>
          <w:rStyle w:val="FootnoteReference"/>
          <w:szCs w:val="24"/>
        </w:rPr>
        <w:footnoteReference w:id="195"/>
      </w:r>
      <w:r w:rsidRPr="00377277">
        <w:rPr>
          <w:szCs w:val="24"/>
        </w:rPr>
        <w:t xml:space="preserve"> Atlas global resource on intellectual disability was also released in 2007,</w:t>
      </w:r>
      <w:r w:rsidRPr="00377277">
        <w:rPr>
          <w:rStyle w:val="FootnoteReference"/>
          <w:szCs w:val="24"/>
        </w:rPr>
        <w:footnoteReference w:id="196"/>
      </w:r>
      <w:r w:rsidRPr="00377277">
        <w:rPr>
          <w:szCs w:val="24"/>
        </w:rPr>
        <w:t xml:space="preserve"> and an Oxfam training resource from 2003 clearly sets out guidelines for disability inclusion, with explicit mention of the needs of people with intellectual disabilities in times of crisis.</w:t>
      </w:r>
      <w:r w:rsidRPr="00377277">
        <w:rPr>
          <w:rStyle w:val="FootnoteReference"/>
          <w:szCs w:val="24"/>
        </w:rPr>
        <w:footnoteReference w:id="197"/>
      </w:r>
      <w:r w:rsidRPr="00377277">
        <w:rPr>
          <w:szCs w:val="24"/>
        </w:rPr>
        <w:t xml:space="preserve"> Following these</w:t>
      </w:r>
      <w:r w:rsidR="00CB1C31">
        <w:rPr>
          <w:szCs w:val="24"/>
        </w:rPr>
        <w:t>,</w:t>
      </w:r>
      <w:r w:rsidRPr="00377277">
        <w:rPr>
          <w:szCs w:val="24"/>
        </w:rPr>
        <w:t xml:space="preserve"> a growing number of resources have been developed at international, country and organisational levels. </w:t>
      </w:r>
    </w:p>
    <w:p w:rsidR="00B617CB" w:rsidRPr="00377277" w:rsidRDefault="00B617CB" w:rsidP="003665E6">
      <w:pPr>
        <w:rPr>
          <w:szCs w:val="24"/>
        </w:rPr>
      </w:pPr>
    </w:p>
    <w:p w:rsidR="00B617CB" w:rsidRPr="00377277" w:rsidRDefault="00B617CB" w:rsidP="003665E6">
      <w:pPr>
        <w:rPr>
          <w:szCs w:val="24"/>
        </w:rPr>
      </w:pPr>
      <w:r w:rsidRPr="00377277">
        <w:rPr>
          <w:szCs w:val="24"/>
        </w:rPr>
        <w:t xml:space="preserve">Yet with the continuing evidence of disproportionate negative effects faced by people with intellectual disabilities and mental health issues, it is clear that no amount of guidelines will change attitudes. The inclusion of a population characterised by diversity cannot be homogenised and reduced into a set of common needs that, if </w:t>
      </w:r>
      <w:r w:rsidRPr="00377277">
        <w:rPr>
          <w:szCs w:val="24"/>
        </w:rPr>
        <w:lastRenderedPageBreak/>
        <w:t>met, would secure the inclusion of people with these impairments.</w:t>
      </w:r>
      <w:r w:rsidRPr="00377277">
        <w:rPr>
          <w:rStyle w:val="FootnoteReference"/>
          <w:szCs w:val="24"/>
        </w:rPr>
        <w:footnoteReference w:id="198"/>
      </w:r>
      <w:r w:rsidRPr="00377277">
        <w:rPr>
          <w:szCs w:val="24"/>
        </w:rPr>
        <w:t xml:space="preserve"> The central lesson to be learnt from the literature is that the road towards inclusion does not start from a focus on the impairment, but rather the reactions to impairment. </w:t>
      </w:r>
    </w:p>
    <w:p w:rsidR="00B617CB" w:rsidRDefault="00B617CB" w:rsidP="003665E6">
      <w:pPr>
        <w:rPr>
          <w:szCs w:val="24"/>
        </w:rPr>
      </w:pPr>
    </w:p>
    <w:p w:rsidR="00CB1C31" w:rsidRDefault="00CB1C31" w:rsidP="003665E6">
      <w:pPr>
        <w:rPr>
          <w:szCs w:val="24"/>
        </w:rPr>
      </w:pPr>
    </w:p>
    <w:p w:rsidR="004842C9" w:rsidRDefault="004842C9">
      <w:pPr>
        <w:spacing w:after="200" w:line="276" w:lineRule="auto"/>
        <w:rPr>
          <w:rFonts w:eastAsiaTheme="majorEastAsia" w:cstheme="majorBidi"/>
          <w:b/>
          <w:bCs/>
          <w:color w:val="002060"/>
          <w:sz w:val="32"/>
          <w:szCs w:val="28"/>
        </w:rPr>
      </w:pPr>
      <w:bookmarkStart w:id="20" w:name="_Toc500810268"/>
      <w:r>
        <w:br w:type="page"/>
      </w:r>
    </w:p>
    <w:p w:rsidR="00B617CB" w:rsidRPr="00377277" w:rsidRDefault="00B617CB" w:rsidP="003665E6">
      <w:pPr>
        <w:pStyle w:val="Heading1"/>
      </w:pPr>
      <w:r w:rsidRPr="00377277">
        <w:lastRenderedPageBreak/>
        <w:t>4. Conclusion</w:t>
      </w:r>
      <w:bookmarkEnd w:id="20"/>
    </w:p>
    <w:p w:rsidR="00B617CB" w:rsidRPr="00377277" w:rsidRDefault="00B617CB" w:rsidP="003665E6">
      <w:pPr>
        <w:rPr>
          <w:szCs w:val="24"/>
        </w:rPr>
      </w:pPr>
    </w:p>
    <w:p w:rsidR="00B617CB" w:rsidRPr="00377277" w:rsidRDefault="00B617CB" w:rsidP="003665E6">
      <w:pPr>
        <w:rPr>
          <w:szCs w:val="24"/>
        </w:rPr>
      </w:pPr>
      <w:r w:rsidRPr="00377277">
        <w:rPr>
          <w:szCs w:val="24"/>
        </w:rPr>
        <w:t xml:space="preserve">The following bullet points </w:t>
      </w:r>
      <w:r w:rsidR="00CB1C31">
        <w:rPr>
          <w:szCs w:val="24"/>
        </w:rPr>
        <w:t>summarise key issues that NAD and its partners may find useful reflect on and discuss when planning future work:</w:t>
      </w:r>
    </w:p>
    <w:p w:rsidR="00B617CB" w:rsidRPr="00377277" w:rsidRDefault="00B617CB" w:rsidP="003665E6">
      <w:pPr>
        <w:rPr>
          <w:szCs w:val="24"/>
        </w:rPr>
      </w:pPr>
    </w:p>
    <w:p w:rsidR="00B617CB" w:rsidRPr="00377277" w:rsidRDefault="00B617CB" w:rsidP="003665E6">
      <w:pPr>
        <w:pStyle w:val="ListParagraph"/>
        <w:numPr>
          <w:ilvl w:val="0"/>
          <w:numId w:val="28"/>
        </w:numPr>
        <w:spacing w:after="200"/>
      </w:pPr>
      <w:r w:rsidRPr="00377277">
        <w:t>In Palestine in particular (</w:t>
      </w:r>
      <w:r w:rsidR="00CB1C31">
        <w:t xml:space="preserve">and to a </w:t>
      </w:r>
      <w:r w:rsidRPr="00377277">
        <w:t xml:space="preserve">lesser extent in Lebanon) there appears to be already a lot of attention </w:t>
      </w:r>
      <w:r w:rsidR="00CB1C31">
        <w:t xml:space="preserve">given </w:t>
      </w:r>
      <w:r w:rsidRPr="00377277">
        <w:t>to mental health problems/distress resulting from the conflict.</w:t>
      </w:r>
    </w:p>
    <w:p w:rsidR="00B617CB" w:rsidRPr="00377277" w:rsidRDefault="00B617CB" w:rsidP="003665E6">
      <w:pPr>
        <w:numPr>
          <w:ilvl w:val="0"/>
          <w:numId w:val="28"/>
        </w:numPr>
        <w:spacing w:after="200"/>
      </w:pPr>
      <w:r w:rsidRPr="00377277">
        <w:t xml:space="preserve">Although </w:t>
      </w:r>
      <w:r w:rsidR="00CB1C31">
        <w:t xml:space="preserve">it is not possible to </w:t>
      </w:r>
      <w:r w:rsidRPr="00377277">
        <w:t>map accurately from literature, it appears that this sort of psyhco-social support is not an area for further urgent inputs.</w:t>
      </w:r>
    </w:p>
    <w:p w:rsidR="00B617CB" w:rsidRPr="00377277" w:rsidRDefault="00B617CB" w:rsidP="003665E6">
      <w:pPr>
        <w:numPr>
          <w:ilvl w:val="0"/>
          <w:numId w:val="28"/>
        </w:numPr>
        <w:spacing w:after="200"/>
      </w:pPr>
      <w:r w:rsidRPr="00377277">
        <w:t>Stigma and discrimination are major barriers in Palestine and Lebanon – support and guidance need to be focused on how to change very entrenched attitudes towards people with intellectual disabilities and mental health issues.</w:t>
      </w:r>
    </w:p>
    <w:p w:rsidR="00B617CB" w:rsidRPr="00377277" w:rsidRDefault="00B617CB" w:rsidP="003665E6">
      <w:pPr>
        <w:numPr>
          <w:ilvl w:val="0"/>
          <w:numId w:val="28"/>
        </w:numPr>
        <w:spacing w:after="200"/>
      </w:pPr>
      <w:r w:rsidRPr="00377277">
        <w:t>Disability-inclusion guidance on intellectual disability exists, but impairment-specific advice gets diluted by the time the guidance becomes action on the ground, so still the most marginalised get missed. Organisations need encouragement and help to avoid this.</w:t>
      </w:r>
    </w:p>
    <w:p w:rsidR="00B617CB" w:rsidRPr="00377277" w:rsidRDefault="00B617CB" w:rsidP="003665E6">
      <w:pPr>
        <w:numPr>
          <w:ilvl w:val="0"/>
          <w:numId w:val="28"/>
        </w:numPr>
        <w:spacing w:after="200"/>
      </w:pPr>
      <w:r w:rsidRPr="00377277">
        <w:t>Specialist support for people with intellectual disabilities is likely to focus on the ’interaction gap’.</w:t>
      </w:r>
    </w:p>
    <w:p w:rsidR="00B617CB" w:rsidRPr="00377277" w:rsidRDefault="00B617CB" w:rsidP="003665E6">
      <w:pPr>
        <w:numPr>
          <w:ilvl w:val="0"/>
          <w:numId w:val="28"/>
        </w:numPr>
        <w:spacing w:after="200"/>
      </w:pPr>
      <w:r w:rsidRPr="00377277">
        <w:t>DPO/disability movement is itself not inclusive or equitable and needs support to become more accessible for and representative of people with intellectual disability.</w:t>
      </w:r>
    </w:p>
    <w:p w:rsidR="00B617CB" w:rsidRPr="00377277" w:rsidRDefault="00B617CB" w:rsidP="003665E6">
      <w:pPr>
        <w:numPr>
          <w:ilvl w:val="0"/>
          <w:numId w:val="28"/>
        </w:numPr>
        <w:spacing w:after="200"/>
      </w:pPr>
      <w:r w:rsidRPr="00377277">
        <w:t xml:space="preserve">Prioritisation of efforts in humanitarian responses is not </w:t>
      </w:r>
      <w:r w:rsidR="00CB1C31">
        <w:t xml:space="preserve">sufficiently </w:t>
      </w:r>
      <w:r w:rsidRPr="00377277">
        <w:t xml:space="preserve">based </w:t>
      </w:r>
      <w:r w:rsidR="00CB1C31">
        <w:t xml:space="preserve">on </w:t>
      </w:r>
      <w:r w:rsidRPr="00377277">
        <w:t xml:space="preserve">stakeholder voices, leaving the most marginalised totally deprioritised. </w:t>
      </w:r>
      <w:r w:rsidR="00CB1C31">
        <w:t>There is a n</w:t>
      </w:r>
      <w:r w:rsidRPr="00377277">
        <w:t xml:space="preserve">eed </w:t>
      </w:r>
      <w:r w:rsidR="00CB1C31">
        <w:t xml:space="preserve">for a </w:t>
      </w:r>
      <w:r w:rsidRPr="00377277">
        <w:t>strong focus on diverse stakeholder voice</w:t>
      </w:r>
      <w:r w:rsidR="00CB1C31">
        <w:t>s</w:t>
      </w:r>
      <w:r w:rsidRPr="00377277">
        <w:t xml:space="preserve"> in decision-making to change this culture.</w:t>
      </w:r>
    </w:p>
    <w:p w:rsidR="00B617CB" w:rsidRPr="00377277" w:rsidRDefault="00B617CB" w:rsidP="003665E6">
      <w:pPr>
        <w:numPr>
          <w:ilvl w:val="0"/>
          <w:numId w:val="28"/>
        </w:numPr>
        <w:spacing w:after="200"/>
      </w:pPr>
      <w:r w:rsidRPr="00377277">
        <w:t>Humanitarian actors bring their own discrimination into the mix, so it</w:t>
      </w:r>
      <w:r w:rsidR="00CB1C31">
        <w:t xml:space="preserve"> i</w:t>
      </w:r>
      <w:r w:rsidRPr="00377277">
        <w:t>s not just a matter of addressing attitudes in communities and governments, but also within the NGO staff.</w:t>
      </w:r>
    </w:p>
    <w:p w:rsidR="00B617CB" w:rsidRPr="00377277" w:rsidRDefault="00B617CB" w:rsidP="003665E6">
      <w:pPr>
        <w:numPr>
          <w:ilvl w:val="0"/>
          <w:numId w:val="28"/>
        </w:numPr>
        <w:spacing w:after="200"/>
      </w:pPr>
      <w:r w:rsidRPr="00377277">
        <w:t>When resources are limited, mapping needs to focus on understanding contextual needs, not head counts.</w:t>
      </w:r>
    </w:p>
    <w:p w:rsidR="00B617CB" w:rsidRPr="00377277" w:rsidRDefault="00B617CB" w:rsidP="003665E6">
      <w:pPr>
        <w:numPr>
          <w:ilvl w:val="0"/>
          <w:numId w:val="28"/>
        </w:numPr>
        <w:spacing w:after="200"/>
      </w:pPr>
      <w:r w:rsidRPr="00377277">
        <w:t>Some humanitarian responses disable further</w:t>
      </w:r>
      <w:r w:rsidR="00CB1C31">
        <w:t>,</w:t>
      </w:r>
      <w:r w:rsidRPr="00377277">
        <w:t xml:space="preserve"> and organisations need help auditing their work with this in mind.</w:t>
      </w:r>
    </w:p>
    <w:p w:rsidR="00B617CB" w:rsidRPr="00377277" w:rsidRDefault="00B617CB" w:rsidP="003665E6">
      <w:pPr>
        <w:numPr>
          <w:ilvl w:val="0"/>
          <w:numId w:val="28"/>
        </w:numPr>
        <w:spacing w:after="200"/>
      </w:pPr>
      <w:r w:rsidRPr="00377277">
        <w:t>Particularly in relation to mental health it seems that in these contexts there is a preference for community</w:t>
      </w:r>
      <w:r w:rsidR="00CB1C31">
        <w:t>-</w:t>
      </w:r>
      <w:r w:rsidRPr="00377277">
        <w:t>centred support rather than individual support.</w:t>
      </w:r>
    </w:p>
    <w:p w:rsidR="004842C9" w:rsidRDefault="004842C9">
      <w:pPr>
        <w:spacing w:after="200" w:line="276" w:lineRule="auto"/>
        <w:rPr>
          <w:rFonts w:eastAsiaTheme="majorEastAsia" w:cstheme="majorBidi"/>
          <w:b/>
          <w:bCs/>
          <w:color w:val="002060"/>
          <w:sz w:val="32"/>
          <w:szCs w:val="28"/>
        </w:rPr>
      </w:pPr>
      <w:bookmarkStart w:id="21" w:name="_Toc500810269"/>
      <w:r>
        <w:br w:type="page"/>
      </w:r>
    </w:p>
    <w:p w:rsidR="00B617CB" w:rsidRPr="00377277" w:rsidRDefault="00B617CB" w:rsidP="003665E6">
      <w:pPr>
        <w:pStyle w:val="Heading1"/>
      </w:pPr>
      <w:bookmarkStart w:id="22" w:name="_GoBack"/>
      <w:bookmarkEnd w:id="22"/>
      <w:r w:rsidRPr="00377277">
        <w:lastRenderedPageBreak/>
        <w:t>References</w:t>
      </w:r>
      <w:bookmarkEnd w:id="21"/>
    </w:p>
    <w:p w:rsidR="00B617CB" w:rsidRPr="00377277" w:rsidRDefault="00B617CB" w:rsidP="003665E6">
      <w:pPr>
        <w:ind w:left="720" w:hanging="720"/>
        <w:rPr>
          <w:szCs w:val="24"/>
        </w:rPr>
      </w:pPr>
    </w:p>
    <w:p w:rsidR="0084416B" w:rsidRPr="00377277" w:rsidRDefault="0084416B" w:rsidP="0084416B">
      <w:pPr>
        <w:pStyle w:val="EndnoteText"/>
      </w:pPr>
    </w:p>
    <w:p w:rsidR="0084416B" w:rsidRPr="00377277" w:rsidRDefault="0084416B" w:rsidP="0084416B">
      <w:pPr>
        <w:pStyle w:val="EndnoteText"/>
        <w:ind w:left="720" w:hanging="720"/>
        <w:rPr>
          <w:rFonts w:cs="Arial"/>
          <w:noProof/>
          <w:sz w:val="24"/>
        </w:rPr>
      </w:pPr>
      <w:bookmarkStart w:id="23" w:name="_ENREF_1"/>
      <w:r w:rsidRPr="00377277">
        <w:rPr>
          <w:rFonts w:cs="Arial"/>
          <w:noProof/>
          <w:sz w:val="24"/>
        </w:rPr>
        <w:t xml:space="preserve">Abed, I., Bermudez, K., &amp; Al Far, M. (2010). </w:t>
      </w:r>
      <w:r w:rsidRPr="00377277">
        <w:rPr>
          <w:rFonts w:cs="Arial"/>
          <w:i/>
          <w:noProof/>
          <w:sz w:val="24"/>
        </w:rPr>
        <w:t>Mapping of Mental Health and Psychosocial Support Services in the Gaza Strip</w:t>
      </w:r>
      <w:r w:rsidRPr="00377277">
        <w:rPr>
          <w:rFonts w:cs="Arial"/>
          <w:noProof/>
          <w:sz w:val="24"/>
        </w:rPr>
        <w:t>. Retrieved from https://www.scribd.com/document/59032798/TDH-Annual-Report-Master</w:t>
      </w:r>
      <w:bookmarkEnd w:id="23"/>
    </w:p>
    <w:p w:rsidR="0084416B" w:rsidRPr="00377277" w:rsidRDefault="0084416B" w:rsidP="0084416B">
      <w:pPr>
        <w:pStyle w:val="EndnoteText"/>
        <w:ind w:left="720" w:hanging="720"/>
        <w:rPr>
          <w:rFonts w:cs="Arial"/>
          <w:noProof/>
          <w:sz w:val="24"/>
        </w:rPr>
      </w:pPr>
      <w:bookmarkStart w:id="24" w:name="_ENREF_2"/>
      <w:r w:rsidRPr="00377277">
        <w:rPr>
          <w:rFonts w:cs="Arial"/>
          <w:noProof/>
          <w:sz w:val="24"/>
        </w:rPr>
        <w:t xml:space="preserve">ADCAP. (2017). </w:t>
      </w:r>
      <w:r w:rsidRPr="00377277">
        <w:rPr>
          <w:rFonts w:cs="Arial"/>
          <w:i/>
          <w:noProof/>
          <w:sz w:val="24"/>
        </w:rPr>
        <w:t>Inclusion of Age and Disability in Humanitarian Action: A two-day training course: Training Handbook</w:t>
      </w:r>
      <w:r w:rsidRPr="00377277">
        <w:rPr>
          <w:rFonts w:cs="Arial"/>
          <w:noProof/>
          <w:sz w:val="24"/>
        </w:rPr>
        <w:t>. Retrieved from https://www.redr.org.uk/getmedia/3164aae0-4f80-4521-a8b7-7a6a24484bc4/ADCAP_Training-Handbook-2017.pdf</w:t>
      </w:r>
      <w:bookmarkEnd w:id="24"/>
    </w:p>
    <w:p w:rsidR="0084416B" w:rsidRPr="00377277" w:rsidRDefault="0084416B" w:rsidP="0084416B">
      <w:pPr>
        <w:pStyle w:val="EndnoteText"/>
        <w:ind w:left="720" w:hanging="720"/>
        <w:rPr>
          <w:rFonts w:cs="Arial"/>
          <w:noProof/>
          <w:sz w:val="24"/>
        </w:rPr>
      </w:pPr>
      <w:bookmarkStart w:id="25" w:name="_ENREF_3"/>
      <w:r w:rsidRPr="00377277">
        <w:rPr>
          <w:rFonts w:cs="Arial"/>
          <w:noProof/>
          <w:sz w:val="24"/>
        </w:rPr>
        <w:t>ARC. Mental health care for refugees (Arabic),</w:t>
      </w:r>
      <w:r w:rsidRPr="00377277">
        <w:rPr>
          <w:rFonts w:cs="Arial"/>
          <w:i/>
          <w:noProof/>
          <w:sz w:val="24"/>
        </w:rPr>
        <w:t xml:space="preserve"> Arab Resource Collective</w:t>
      </w:r>
      <w:r w:rsidRPr="00377277">
        <w:rPr>
          <w:rFonts w:cs="Arial"/>
          <w:noProof/>
          <w:sz w:val="24"/>
        </w:rPr>
        <w:t>. Retrieved from http://www.mawared.org/ar/content/mdkhl-l-lry-lnfsy-lljyyn</w:t>
      </w:r>
      <w:bookmarkEnd w:id="25"/>
    </w:p>
    <w:p w:rsidR="0084416B" w:rsidRPr="00377277" w:rsidRDefault="0084416B" w:rsidP="0084416B">
      <w:pPr>
        <w:pStyle w:val="EndnoteText"/>
        <w:ind w:left="720" w:hanging="720"/>
        <w:rPr>
          <w:rFonts w:cs="Arial"/>
          <w:noProof/>
          <w:sz w:val="24"/>
        </w:rPr>
      </w:pPr>
      <w:bookmarkStart w:id="26" w:name="_ENREF_4"/>
      <w:r w:rsidRPr="00377277">
        <w:rPr>
          <w:rFonts w:cs="Arial"/>
          <w:noProof/>
          <w:sz w:val="24"/>
        </w:rPr>
        <w:t xml:space="preserve">AusAid. (2015). </w:t>
      </w:r>
      <w:r w:rsidRPr="00377277">
        <w:rPr>
          <w:rFonts w:cs="Arial"/>
          <w:i/>
          <w:noProof/>
          <w:sz w:val="24"/>
        </w:rPr>
        <w:t>Development for All 2015-2020: Strategy for strengthening disability-inclusive development in Australia’s aid program</w:t>
      </w:r>
      <w:r w:rsidRPr="00377277">
        <w:rPr>
          <w:rFonts w:cs="Arial"/>
          <w:noProof/>
          <w:sz w:val="24"/>
        </w:rPr>
        <w:t>. Department of Foreign Affairs and Trade. Retrieved from http://dfat.gov.au/about-us/publications/Documents/development-for-all-2015-2020.pdf</w:t>
      </w:r>
      <w:bookmarkEnd w:id="26"/>
    </w:p>
    <w:p w:rsidR="0084416B" w:rsidRPr="00377277" w:rsidRDefault="0084416B" w:rsidP="0084416B">
      <w:pPr>
        <w:pStyle w:val="EndnoteText"/>
        <w:ind w:left="720" w:hanging="720"/>
        <w:rPr>
          <w:rFonts w:cs="Arial"/>
          <w:noProof/>
          <w:sz w:val="24"/>
        </w:rPr>
      </w:pPr>
      <w:bookmarkStart w:id="27" w:name="_ENREF_5"/>
      <w:r w:rsidRPr="00377277">
        <w:rPr>
          <w:rFonts w:cs="Arial"/>
          <w:noProof/>
          <w:sz w:val="24"/>
        </w:rPr>
        <w:t xml:space="preserve">Australian Red Cross. (2014). Disability Inclusion and Disaster Management. </w:t>
      </w:r>
      <w:bookmarkEnd w:id="27"/>
    </w:p>
    <w:p w:rsidR="0084416B" w:rsidRPr="00377277" w:rsidRDefault="0084416B" w:rsidP="0084416B">
      <w:pPr>
        <w:pStyle w:val="EndnoteText"/>
        <w:ind w:left="720" w:hanging="720"/>
        <w:rPr>
          <w:rFonts w:cs="Arial"/>
          <w:noProof/>
          <w:sz w:val="24"/>
        </w:rPr>
      </w:pPr>
      <w:bookmarkStart w:id="28" w:name="_ENREF_6"/>
      <w:r w:rsidRPr="00377277">
        <w:rPr>
          <w:rFonts w:cs="Arial"/>
          <w:noProof/>
          <w:sz w:val="24"/>
        </w:rPr>
        <w:t>Barber, B. K., &amp; Jamei, Y. A. (2017). Palestinians in Gaza Suffer Enough Without Being Defamed as Sexual Deviants and Mentally Ill,</w:t>
      </w:r>
      <w:r w:rsidRPr="00377277">
        <w:rPr>
          <w:rFonts w:cs="Arial"/>
          <w:i/>
          <w:noProof/>
          <w:sz w:val="24"/>
        </w:rPr>
        <w:t xml:space="preserve"> Haaretz</w:t>
      </w:r>
      <w:r w:rsidRPr="00377277">
        <w:rPr>
          <w:rFonts w:cs="Arial"/>
          <w:noProof/>
          <w:sz w:val="24"/>
        </w:rPr>
        <w:t>. Retrieved from https://www.haaretz.com/amp/opinion/1.824097</w:t>
      </w:r>
      <w:bookmarkEnd w:id="28"/>
    </w:p>
    <w:p w:rsidR="0084416B" w:rsidRPr="00377277" w:rsidRDefault="0084416B" w:rsidP="0084416B">
      <w:pPr>
        <w:pStyle w:val="EndnoteText"/>
        <w:ind w:left="720" w:hanging="720"/>
        <w:rPr>
          <w:rFonts w:cs="Arial"/>
          <w:noProof/>
          <w:sz w:val="24"/>
        </w:rPr>
      </w:pPr>
      <w:bookmarkStart w:id="29" w:name="_ENREF_7"/>
      <w:r w:rsidRPr="00377277">
        <w:rPr>
          <w:rFonts w:cs="Arial"/>
          <w:noProof/>
          <w:sz w:val="24"/>
        </w:rPr>
        <w:t xml:space="preserve">Berghs, M., &amp; Kabbara, N. (2016). Disabled people in conflicts and wars </w:t>
      </w:r>
      <w:r w:rsidRPr="00377277">
        <w:rPr>
          <w:rFonts w:cs="Arial"/>
          <w:i/>
          <w:noProof/>
          <w:sz w:val="24"/>
        </w:rPr>
        <w:t>Disability in the Global South</w:t>
      </w:r>
      <w:r w:rsidRPr="00377277">
        <w:rPr>
          <w:rFonts w:cs="Arial"/>
          <w:noProof/>
          <w:sz w:val="24"/>
        </w:rPr>
        <w:t xml:space="preserve"> (pp. 269-283): Springer.</w:t>
      </w:r>
      <w:bookmarkEnd w:id="29"/>
    </w:p>
    <w:p w:rsidR="0084416B" w:rsidRPr="00377277" w:rsidRDefault="0084416B" w:rsidP="0084416B">
      <w:pPr>
        <w:pStyle w:val="EndnoteText"/>
        <w:ind w:left="720" w:hanging="720"/>
        <w:rPr>
          <w:rFonts w:cs="Arial"/>
          <w:noProof/>
          <w:sz w:val="24"/>
        </w:rPr>
      </w:pPr>
      <w:bookmarkStart w:id="30" w:name="_ENREF_8"/>
      <w:r w:rsidRPr="00377277">
        <w:rPr>
          <w:rFonts w:cs="Arial"/>
          <w:noProof/>
          <w:sz w:val="24"/>
        </w:rPr>
        <w:t xml:space="preserve">Braithwaite, J., &amp; Mont, D. (2009). Disability and poverty: a survey of World Bank poverty assessments and implications. </w:t>
      </w:r>
      <w:r w:rsidRPr="00377277">
        <w:rPr>
          <w:rFonts w:cs="Arial"/>
          <w:i/>
          <w:noProof/>
          <w:sz w:val="24"/>
        </w:rPr>
        <w:t>ALTER-European Journal of Disability Research/Revue Européenne de Recherche sur le Handicap, 3</w:t>
      </w:r>
      <w:r w:rsidRPr="00377277">
        <w:rPr>
          <w:rFonts w:cs="Arial"/>
          <w:noProof/>
          <w:sz w:val="24"/>
        </w:rPr>
        <w:t xml:space="preserve">(3), 219-232. </w:t>
      </w:r>
      <w:bookmarkEnd w:id="30"/>
    </w:p>
    <w:p w:rsidR="0084416B" w:rsidRPr="00377277" w:rsidRDefault="0084416B" w:rsidP="0084416B">
      <w:pPr>
        <w:pStyle w:val="EndnoteText"/>
        <w:ind w:left="720" w:hanging="720"/>
        <w:rPr>
          <w:rFonts w:cs="Arial"/>
          <w:noProof/>
          <w:sz w:val="24"/>
        </w:rPr>
      </w:pPr>
      <w:bookmarkStart w:id="31" w:name="_ENREF_9"/>
      <w:r w:rsidRPr="00377277">
        <w:rPr>
          <w:rFonts w:cs="Arial"/>
          <w:noProof/>
          <w:sz w:val="24"/>
        </w:rPr>
        <w:t xml:space="preserve">Burton, G., Sayrafi, I., &amp; Srour, S. A. (2013). Inclusion or transformation? An early assessment of an empowerment project for disabled people in occupied Palestine. </w:t>
      </w:r>
      <w:r w:rsidRPr="00377277">
        <w:rPr>
          <w:rFonts w:cs="Arial"/>
          <w:i/>
          <w:noProof/>
          <w:sz w:val="24"/>
        </w:rPr>
        <w:t>Disability &amp; Society, 28</w:t>
      </w:r>
      <w:r w:rsidRPr="00377277">
        <w:rPr>
          <w:rFonts w:cs="Arial"/>
          <w:noProof/>
          <w:sz w:val="24"/>
        </w:rPr>
        <w:t xml:space="preserve">(6), 812-825. </w:t>
      </w:r>
      <w:bookmarkEnd w:id="31"/>
    </w:p>
    <w:p w:rsidR="0084416B" w:rsidRPr="00377277" w:rsidRDefault="0084416B" w:rsidP="0084416B">
      <w:pPr>
        <w:pStyle w:val="EndnoteText"/>
        <w:ind w:left="720" w:hanging="720"/>
        <w:rPr>
          <w:rFonts w:cs="Arial"/>
          <w:noProof/>
          <w:sz w:val="24"/>
        </w:rPr>
      </w:pPr>
      <w:bookmarkStart w:id="32" w:name="_ENREF_10"/>
      <w:r w:rsidRPr="00377277">
        <w:rPr>
          <w:rFonts w:cs="Arial"/>
          <w:noProof/>
          <w:sz w:val="24"/>
        </w:rPr>
        <w:t>Carulla, L. S., Reed, G. M., Vaez-Azizi, L. M., Cooper, S.-A., Leal, R., Bertelli, M., . . . Dirani, L. A. (2011). Intellectual developmental disorders: towards a new name, definition and framework for “mental retardation/intellectual disability” in ICD</w:t>
      </w:r>
      <w:r w:rsidRPr="00377277">
        <w:rPr>
          <w:rFonts w:ascii="Cambria Math" w:hAnsi="Cambria Math" w:cs="Cambria Math"/>
          <w:noProof/>
          <w:sz w:val="24"/>
        </w:rPr>
        <w:t>‐</w:t>
      </w:r>
      <w:r w:rsidRPr="00377277">
        <w:rPr>
          <w:rFonts w:cs="Arial"/>
          <w:noProof/>
          <w:sz w:val="24"/>
        </w:rPr>
        <w:t xml:space="preserve">11. </w:t>
      </w:r>
      <w:r w:rsidRPr="00377277">
        <w:rPr>
          <w:rFonts w:cs="Arial"/>
          <w:i/>
          <w:noProof/>
          <w:sz w:val="24"/>
        </w:rPr>
        <w:t>World Psychiatry, 10</w:t>
      </w:r>
      <w:r w:rsidRPr="00377277">
        <w:rPr>
          <w:rFonts w:cs="Arial"/>
          <w:noProof/>
          <w:sz w:val="24"/>
        </w:rPr>
        <w:t xml:space="preserve">(3), 175-180. </w:t>
      </w:r>
      <w:bookmarkEnd w:id="32"/>
    </w:p>
    <w:p w:rsidR="0084416B" w:rsidRPr="00377277" w:rsidRDefault="0084416B" w:rsidP="0084416B">
      <w:pPr>
        <w:pStyle w:val="EndnoteText"/>
        <w:ind w:left="720" w:hanging="720"/>
        <w:rPr>
          <w:rFonts w:cs="Arial"/>
          <w:noProof/>
          <w:sz w:val="24"/>
        </w:rPr>
      </w:pPr>
      <w:bookmarkStart w:id="33" w:name="_ENREF_11"/>
      <w:r w:rsidRPr="00377277">
        <w:rPr>
          <w:rFonts w:cs="Arial"/>
          <w:noProof/>
          <w:sz w:val="24"/>
        </w:rPr>
        <w:t xml:space="preserve">CBM. (2013). Disability Inclusive Disaster Risk Management: Voices from the Field and Good Practices. </w:t>
      </w:r>
      <w:bookmarkEnd w:id="33"/>
    </w:p>
    <w:p w:rsidR="0084416B" w:rsidRPr="00377277" w:rsidRDefault="0084416B" w:rsidP="0084416B">
      <w:pPr>
        <w:pStyle w:val="EndnoteText"/>
        <w:ind w:left="720" w:hanging="720"/>
        <w:rPr>
          <w:rFonts w:cs="Arial"/>
          <w:noProof/>
          <w:sz w:val="24"/>
        </w:rPr>
      </w:pPr>
      <w:bookmarkStart w:id="34" w:name="_ENREF_12"/>
      <w:r w:rsidRPr="00377277">
        <w:rPr>
          <w:rFonts w:cs="Arial"/>
          <w:noProof/>
          <w:sz w:val="24"/>
        </w:rPr>
        <w:t xml:space="preserve">Charara, R., Forouzanfar, M., Naghavi, M., Moradi-Lakeh, M., Afshin, A., Vos, T., . . . Khalil, I. (2017). The Burden of Mental Disorders in the Eastern Mediterranean Region, 1990-2013. </w:t>
      </w:r>
      <w:r w:rsidRPr="00377277">
        <w:rPr>
          <w:rFonts w:cs="Arial"/>
          <w:i/>
          <w:noProof/>
          <w:sz w:val="24"/>
        </w:rPr>
        <w:t>PloS one, 12</w:t>
      </w:r>
      <w:r w:rsidRPr="00377277">
        <w:rPr>
          <w:rFonts w:cs="Arial"/>
          <w:noProof/>
          <w:sz w:val="24"/>
        </w:rPr>
        <w:t xml:space="preserve">(1), e0169575. </w:t>
      </w:r>
      <w:bookmarkEnd w:id="34"/>
    </w:p>
    <w:p w:rsidR="0084416B" w:rsidRPr="00377277" w:rsidRDefault="0084416B" w:rsidP="0084416B">
      <w:pPr>
        <w:pStyle w:val="EndnoteText"/>
        <w:ind w:left="720" w:hanging="720"/>
        <w:rPr>
          <w:rFonts w:cs="Arial"/>
          <w:noProof/>
          <w:sz w:val="24"/>
        </w:rPr>
      </w:pPr>
      <w:bookmarkStart w:id="35" w:name="_ENREF_13"/>
      <w:r w:rsidRPr="00377277">
        <w:rPr>
          <w:rFonts w:cs="Arial"/>
          <w:noProof/>
          <w:sz w:val="24"/>
        </w:rPr>
        <w:t xml:space="preserve">Clegg, J., &amp; Bigby, C. (2017). Debates about dedifferentiation: twenty-first century thinking about people with intellectual disabilities as distinct members of the disability group. </w:t>
      </w:r>
      <w:r w:rsidRPr="00377277">
        <w:rPr>
          <w:rFonts w:cs="Arial"/>
          <w:i/>
          <w:noProof/>
          <w:sz w:val="24"/>
        </w:rPr>
        <w:t>Research and Practice in Intellectual and Developmental Disabilities, 4</w:t>
      </w:r>
      <w:r w:rsidRPr="00377277">
        <w:rPr>
          <w:rFonts w:cs="Arial"/>
          <w:noProof/>
          <w:sz w:val="24"/>
        </w:rPr>
        <w:t xml:space="preserve">(1), 80-97. </w:t>
      </w:r>
      <w:bookmarkEnd w:id="35"/>
    </w:p>
    <w:p w:rsidR="0084416B" w:rsidRPr="00377277" w:rsidRDefault="0084416B" w:rsidP="0084416B">
      <w:pPr>
        <w:pStyle w:val="EndnoteText"/>
        <w:ind w:left="720" w:hanging="720"/>
        <w:rPr>
          <w:rFonts w:cs="Arial"/>
          <w:noProof/>
          <w:sz w:val="24"/>
        </w:rPr>
      </w:pPr>
      <w:bookmarkStart w:id="36" w:name="_ENREF_14"/>
      <w:r w:rsidRPr="00377277">
        <w:rPr>
          <w:rFonts w:cs="Arial"/>
          <w:noProof/>
          <w:sz w:val="24"/>
        </w:rPr>
        <w:t xml:space="preserve">Coe, S. (2012). More practical lessons from five projects on disability-inclusive development. </w:t>
      </w:r>
      <w:r w:rsidRPr="00377277">
        <w:rPr>
          <w:rFonts w:cs="Arial"/>
          <w:i/>
          <w:noProof/>
          <w:sz w:val="24"/>
        </w:rPr>
        <w:t>Development in Practice, 22</w:t>
      </w:r>
      <w:r w:rsidRPr="00377277">
        <w:rPr>
          <w:rFonts w:cs="Arial"/>
          <w:noProof/>
          <w:sz w:val="24"/>
        </w:rPr>
        <w:t xml:space="preserve">(3), 400-408. </w:t>
      </w:r>
      <w:bookmarkEnd w:id="36"/>
    </w:p>
    <w:p w:rsidR="0084416B" w:rsidRPr="00377277" w:rsidRDefault="0084416B" w:rsidP="0084416B">
      <w:pPr>
        <w:pStyle w:val="EndnoteText"/>
        <w:ind w:left="720" w:hanging="720"/>
        <w:rPr>
          <w:rFonts w:cs="Arial"/>
          <w:noProof/>
          <w:sz w:val="24"/>
        </w:rPr>
      </w:pPr>
      <w:bookmarkStart w:id="37" w:name="_ENREF_15"/>
      <w:r w:rsidRPr="00377277">
        <w:rPr>
          <w:rFonts w:cs="Arial"/>
          <w:noProof/>
          <w:sz w:val="24"/>
        </w:rPr>
        <w:t xml:space="preserve">Collinson, S. (2015). </w:t>
      </w:r>
      <w:r w:rsidRPr="00377277">
        <w:rPr>
          <w:rFonts w:cs="Arial"/>
          <w:i/>
          <w:noProof/>
          <w:sz w:val="24"/>
        </w:rPr>
        <w:t>Minimum Standards for Age and Disability Inclusion in Humanitarian Action</w:t>
      </w:r>
      <w:r w:rsidRPr="00377277">
        <w:rPr>
          <w:rFonts w:cs="Arial"/>
          <w:noProof/>
          <w:sz w:val="24"/>
        </w:rPr>
        <w:t>. Age and Disability Capacity Building Programme.</w:t>
      </w:r>
      <w:bookmarkEnd w:id="37"/>
    </w:p>
    <w:p w:rsidR="0084416B" w:rsidRPr="00377277" w:rsidRDefault="0084416B" w:rsidP="0084416B">
      <w:pPr>
        <w:pStyle w:val="EndnoteText"/>
        <w:ind w:left="720" w:hanging="720"/>
        <w:rPr>
          <w:rFonts w:cs="Arial"/>
          <w:noProof/>
          <w:sz w:val="24"/>
        </w:rPr>
      </w:pPr>
      <w:bookmarkStart w:id="38" w:name="_ENREF_16"/>
      <w:r w:rsidRPr="00377277">
        <w:rPr>
          <w:rFonts w:cs="Arial"/>
          <w:noProof/>
          <w:sz w:val="24"/>
        </w:rPr>
        <w:t xml:space="preserve">DIFD. (2015). </w:t>
      </w:r>
      <w:r w:rsidRPr="00377277">
        <w:rPr>
          <w:rFonts w:cs="Arial"/>
          <w:i/>
          <w:noProof/>
          <w:sz w:val="24"/>
        </w:rPr>
        <w:t>DFID Disability Framework</w:t>
      </w:r>
      <w:r w:rsidRPr="00377277">
        <w:rPr>
          <w:rFonts w:cs="Arial"/>
          <w:noProof/>
          <w:sz w:val="24"/>
        </w:rPr>
        <w:t>. Department for International Development. Retrieved from https://www.gov.uk/government/publications/dfid-disability-framework-2015</w:t>
      </w:r>
      <w:bookmarkEnd w:id="38"/>
    </w:p>
    <w:p w:rsidR="0084416B" w:rsidRPr="00377277" w:rsidRDefault="0084416B" w:rsidP="0084416B">
      <w:pPr>
        <w:pStyle w:val="EndnoteText"/>
        <w:ind w:left="720" w:hanging="720"/>
        <w:rPr>
          <w:rFonts w:cs="Arial"/>
          <w:noProof/>
          <w:sz w:val="24"/>
        </w:rPr>
      </w:pPr>
      <w:bookmarkStart w:id="39" w:name="_ENREF_17"/>
      <w:r w:rsidRPr="00377277">
        <w:rPr>
          <w:rFonts w:cs="Arial"/>
          <w:noProof/>
          <w:sz w:val="24"/>
        </w:rPr>
        <w:t xml:space="preserve">GAATES. Guideline on inclusive disaster risk reduction: Early Warnings and Accessible Broadcasting. </w:t>
      </w:r>
      <w:bookmarkEnd w:id="39"/>
    </w:p>
    <w:p w:rsidR="0084416B" w:rsidRPr="00377277" w:rsidRDefault="0084416B" w:rsidP="0084416B">
      <w:pPr>
        <w:pStyle w:val="EndnoteText"/>
        <w:ind w:left="720" w:hanging="720"/>
        <w:rPr>
          <w:rFonts w:cs="Arial"/>
          <w:noProof/>
          <w:sz w:val="24"/>
        </w:rPr>
      </w:pPr>
      <w:bookmarkStart w:id="40" w:name="_ENREF_18"/>
      <w:r w:rsidRPr="00377277">
        <w:rPr>
          <w:rFonts w:cs="Arial"/>
          <w:noProof/>
          <w:sz w:val="24"/>
        </w:rPr>
        <w:lastRenderedPageBreak/>
        <w:t xml:space="preserve">Giacaman, R., Rabaia, Y., Nguyen-Gillham, V., Batniji, R., Punamäki, R.-L., &amp; Summerfield, D. (2011). Mental health, social distress and political oppression: The case of the occupied Palestinian territory. </w:t>
      </w:r>
      <w:r w:rsidRPr="00377277">
        <w:rPr>
          <w:rFonts w:cs="Arial"/>
          <w:i/>
          <w:noProof/>
          <w:sz w:val="24"/>
        </w:rPr>
        <w:t>Global public health, 6</w:t>
      </w:r>
      <w:r w:rsidRPr="00377277">
        <w:rPr>
          <w:rFonts w:cs="Arial"/>
          <w:noProof/>
          <w:sz w:val="24"/>
        </w:rPr>
        <w:t xml:space="preserve">(5), 547-559. </w:t>
      </w:r>
      <w:bookmarkEnd w:id="40"/>
    </w:p>
    <w:p w:rsidR="0084416B" w:rsidRPr="00377277" w:rsidRDefault="0084416B" w:rsidP="0084416B">
      <w:pPr>
        <w:pStyle w:val="EndnoteText"/>
        <w:ind w:left="720" w:hanging="720"/>
        <w:rPr>
          <w:rFonts w:cs="Arial"/>
          <w:noProof/>
          <w:sz w:val="24"/>
        </w:rPr>
      </w:pPr>
      <w:bookmarkStart w:id="41" w:name="_ENREF_19"/>
      <w:r w:rsidRPr="00377277">
        <w:rPr>
          <w:rFonts w:cs="Arial"/>
          <w:noProof/>
          <w:sz w:val="24"/>
        </w:rPr>
        <w:t xml:space="preserve">Goodley, D. (2016). </w:t>
      </w:r>
      <w:r w:rsidRPr="00377277">
        <w:rPr>
          <w:rFonts w:cs="Arial"/>
          <w:i/>
          <w:noProof/>
          <w:sz w:val="24"/>
        </w:rPr>
        <w:t>Disability studies: An interdisciplinary introduction</w:t>
      </w:r>
      <w:r w:rsidRPr="00377277">
        <w:rPr>
          <w:rFonts w:cs="Arial"/>
          <w:noProof/>
          <w:sz w:val="24"/>
        </w:rPr>
        <w:t>: Sage.</w:t>
      </w:r>
      <w:bookmarkEnd w:id="41"/>
    </w:p>
    <w:p w:rsidR="0084416B" w:rsidRPr="00377277" w:rsidRDefault="0084416B" w:rsidP="0084416B">
      <w:pPr>
        <w:pStyle w:val="EndnoteText"/>
        <w:ind w:left="720" w:hanging="720"/>
        <w:rPr>
          <w:rFonts w:cs="Arial"/>
          <w:noProof/>
          <w:sz w:val="24"/>
        </w:rPr>
      </w:pPr>
      <w:bookmarkStart w:id="42" w:name="_ENREF_20"/>
      <w:r w:rsidRPr="00377277">
        <w:rPr>
          <w:rFonts w:cs="Arial"/>
          <w:noProof/>
          <w:sz w:val="24"/>
        </w:rPr>
        <w:t>Greskamp, D. (2013).</w:t>
      </w:r>
      <w:r w:rsidRPr="00377277">
        <w:rPr>
          <w:rFonts w:cs="Arial"/>
          <w:i/>
          <w:noProof/>
          <w:sz w:val="24"/>
        </w:rPr>
        <w:t xml:space="preserve"> Including People with Disabilities in Disaster Preparedness and Response. Workshop Council of Europe Office Oct 2013</w:t>
      </w:r>
      <w:r w:rsidRPr="00377277">
        <w:rPr>
          <w:rFonts w:cs="Arial"/>
          <w:noProof/>
          <w:sz w:val="24"/>
        </w:rPr>
        <w:t>. Paris. Retrieved from https://www.coe.int/t/dg4/majorhazards/activites/2013/DIDRR/Presentation_Greskamp_22-23oct2013.pdf</w:t>
      </w:r>
      <w:bookmarkEnd w:id="42"/>
    </w:p>
    <w:p w:rsidR="0084416B" w:rsidRPr="00377277" w:rsidRDefault="0084416B" w:rsidP="0084416B">
      <w:pPr>
        <w:pStyle w:val="EndnoteText"/>
        <w:ind w:left="720" w:hanging="720"/>
        <w:rPr>
          <w:rFonts w:cs="Arial"/>
          <w:noProof/>
          <w:sz w:val="24"/>
        </w:rPr>
      </w:pPr>
      <w:bookmarkStart w:id="43" w:name="_ENREF_21"/>
      <w:r w:rsidRPr="00377277">
        <w:rPr>
          <w:rFonts w:cs="Arial"/>
          <w:noProof/>
          <w:sz w:val="24"/>
        </w:rPr>
        <w:t xml:space="preserve">Grove, S., Grove, N., &amp; Myerscough, T. (2010). Intellectual disability and war: Issues for consideration. </w:t>
      </w:r>
      <w:r w:rsidRPr="00377277">
        <w:rPr>
          <w:rFonts w:cs="Arial"/>
          <w:i/>
          <w:noProof/>
          <w:sz w:val="24"/>
        </w:rPr>
        <w:t>Journal on Developmental Disabilities, 16</w:t>
      </w:r>
      <w:r w:rsidRPr="00377277">
        <w:rPr>
          <w:rFonts w:cs="Arial"/>
          <w:noProof/>
          <w:sz w:val="24"/>
        </w:rPr>
        <w:t xml:space="preserve">(1), 85-93. </w:t>
      </w:r>
      <w:bookmarkEnd w:id="43"/>
    </w:p>
    <w:p w:rsidR="0084416B" w:rsidRPr="00377277" w:rsidRDefault="0084416B" w:rsidP="0084416B">
      <w:pPr>
        <w:pStyle w:val="EndnoteText"/>
        <w:ind w:left="720" w:hanging="720"/>
        <w:rPr>
          <w:rFonts w:cs="Arial"/>
          <w:noProof/>
          <w:sz w:val="24"/>
        </w:rPr>
      </w:pPr>
      <w:bookmarkStart w:id="44" w:name="_ENREF_22"/>
      <w:r w:rsidRPr="00377277">
        <w:rPr>
          <w:rFonts w:cs="Arial"/>
          <w:noProof/>
          <w:sz w:val="24"/>
        </w:rPr>
        <w:t xml:space="preserve">Handicap International. (2015). Disability in humanitarian context - Handicap International. </w:t>
      </w:r>
      <w:bookmarkEnd w:id="44"/>
    </w:p>
    <w:p w:rsidR="0084416B" w:rsidRPr="00377277" w:rsidRDefault="0084416B" w:rsidP="0084416B">
      <w:pPr>
        <w:pStyle w:val="EndnoteText"/>
        <w:ind w:left="720" w:hanging="720"/>
        <w:rPr>
          <w:rFonts w:cs="Arial"/>
          <w:noProof/>
          <w:sz w:val="24"/>
        </w:rPr>
      </w:pPr>
      <w:bookmarkStart w:id="45" w:name="_ENREF_23"/>
      <w:r w:rsidRPr="00377277">
        <w:rPr>
          <w:rFonts w:cs="Arial"/>
          <w:noProof/>
          <w:sz w:val="24"/>
        </w:rPr>
        <w:t xml:space="preserve">Harris, A., &amp; Enfield, S. (2003). </w:t>
      </w:r>
      <w:r w:rsidRPr="00377277">
        <w:rPr>
          <w:rFonts w:cs="Arial"/>
          <w:i/>
          <w:noProof/>
          <w:sz w:val="24"/>
        </w:rPr>
        <w:t>Disability, equality and human rights: A training manual for development and humanitarian organisations</w:t>
      </w:r>
      <w:r w:rsidRPr="00377277">
        <w:rPr>
          <w:rFonts w:cs="Arial"/>
          <w:noProof/>
          <w:sz w:val="24"/>
        </w:rPr>
        <w:t>: Oxfam GB.</w:t>
      </w:r>
      <w:bookmarkEnd w:id="45"/>
    </w:p>
    <w:p w:rsidR="0084416B" w:rsidRPr="00377277" w:rsidRDefault="0084416B" w:rsidP="0084416B">
      <w:pPr>
        <w:pStyle w:val="EndnoteText"/>
        <w:ind w:left="720" w:hanging="720"/>
        <w:rPr>
          <w:rFonts w:cs="Arial"/>
          <w:noProof/>
          <w:sz w:val="24"/>
        </w:rPr>
      </w:pPr>
      <w:bookmarkStart w:id="46" w:name="_ENREF_24"/>
      <w:r w:rsidRPr="00377277">
        <w:rPr>
          <w:rFonts w:cs="Arial"/>
          <w:noProof/>
          <w:sz w:val="24"/>
        </w:rPr>
        <w:t xml:space="preserve">Hemingway, L., &amp; Priestley, M. (2014). Natural hazards, human vulnerability and disabling societies: a disaster for disabled people? </w:t>
      </w:r>
      <w:r w:rsidRPr="00377277">
        <w:rPr>
          <w:rFonts w:cs="Arial"/>
          <w:i/>
          <w:noProof/>
          <w:sz w:val="24"/>
        </w:rPr>
        <w:t>Review of Disability Studies: An International Journal, 2</w:t>
      </w:r>
      <w:r w:rsidRPr="00377277">
        <w:rPr>
          <w:rFonts w:cs="Arial"/>
          <w:noProof/>
          <w:sz w:val="24"/>
        </w:rPr>
        <w:t xml:space="preserve">(3). </w:t>
      </w:r>
      <w:bookmarkEnd w:id="46"/>
    </w:p>
    <w:p w:rsidR="0084416B" w:rsidRPr="00377277" w:rsidRDefault="0084416B" w:rsidP="0084416B">
      <w:pPr>
        <w:pStyle w:val="EndnoteText"/>
        <w:ind w:left="720" w:hanging="720"/>
        <w:rPr>
          <w:rFonts w:cs="Arial"/>
          <w:noProof/>
          <w:sz w:val="24"/>
        </w:rPr>
      </w:pPr>
      <w:bookmarkStart w:id="47" w:name="_ENREF_25"/>
      <w:r w:rsidRPr="00377277">
        <w:rPr>
          <w:rFonts w:cs="Arial"/>
          <w:noProof/>
          <w:sz w:val="24"/>
        </w:rPr>
        <w:t xml:space="preserve">Herr, S. S., Gostin, L. O., Koh, H. H., &amp; Gostin, L. O. (2003). </w:t>
      </w:r>
      <w:r w:rsidRPr="00377277">
        <w:rPr>
          <w:rFonts w:cs="Arial"/>
          <w:i/>
          <w:noProof/>
          <w:sz w:val="24"/>
        </w:rPr>
        <w:t>The human rights of persons with intellectual disabilities: Different but equal</w:t>
      </w:r>
      <w:r w:rsidRPr="00377277">
        <w:rPr>
          <w:rFonts w:cs="Arial"/>
          <w:noProof/>
          <w:sz w:val="24"/>
        </w:rPr>
        <w:t>: Oxford University Press on Demand.</w:t>
      </w:r>
      <w:bookmarkEnd w:id="47"/>
    </w:p>
    <w:p w:rsidR="0084416B" w:rsidRPr="00377277" w:rsidRDefault="0084416B" w:rsidP="0084416B">
      <w:pPr>
        <w:pStyle w:val="EndnoteText"/>
        <w:ind w:left="720" w:hanging="720"/>
        <w:rPr>
          <w:rFonts w:cs="Arial"/>
          <w:noProof/>
          <w:sz w:val="24"/>
        </w:rPr>
      </w:pPr>
      <w:bookmarkStart w:id="48" w:name="_ENREF_26"/>
      <w:r w:rsidRPr="00377277">
        <w:rPr>
          <w:rFonts w:cs="Arial"/>
          <w:noProof/>
          <w:sz w:val="24"/>
        </w:rPr>
        <w:t xml:space="preserve">Höfler, M. (2014). Psychological resilience building in disaster risk reduction: contributions from adult education. </w:t>
      </w:r>
      <w:r w:rsidRPr="00377277">
        <w:rPr>
          <w:rFonts w:cs="Arial"/>
          <w:i/>
          <w:noProof/>
          <w:sz w:val="24"/>
        </w:rPr>
        <w:t>International journal of disaster risk science, 5</w:t>
      </w:r>
      <w:r w:rsidRPr="00377277">
        <w:rPr>
          <w:rFonts w:cs="Arial"/>
          <w:noProof/>
          <w:sz w:val="24"/>
        </w:rPr>
        <w:t xml:space="preserve">(1), 33-40. </w:t>
      </w:r>
      <w:bookmarkEnd w:id="48"/>
    </w:p>
    <w:p w:rsidR="0084416B" w:rsidRPr="00377277" w:rsidRDefault="0084416B" w:rsidP="0084416B">
      <w:pPr>
        <w:pStyle w:val="EndnoteText"/>
        <w:ind w:left="720" w:hanging="720"/>
        <w:rPr>
          <w:rFonts w:cs="Arial"/>
          <w:noProof/>
          <w:sz w:val="24"/>
        </w:rPr>
      </w:pPr>
      <w:bookmarkStart w:id="49" w:name="_ENREF_27"/>
      <w:r w:rsidRPr="00377277">
        <w:rPr>
          <w:rFonts w:cs="Arial"/>
          <w:noProof/>
          <w:sz w:val="24"/>
        </w:rPr>
        <w:t xml:space="preserve">Inclusion International. (2006). </w:t>
      </w:r>
      <w:r w:rsidRPr="00377277">
        <w:rPr>
          <w:rFonts w:cs="Arial"/>
          <w:i/>
          <w:noProof/>
          <w:sz w:val="24"/>
        </w:rPr>
        <w:t>Hear Our Voices: A Global Report. People with an Intellectual Disability and their Families Speak Out on Poverty and Exclusion</w:t>
      </w:r>
      <w:r w:rsidRPr="00377277">
        <w:rPr>
          <w:rFonts w:cs="Arial"/>
          <w:noProof/>
          <w:sz w:val="24"/>
        </w:rPr>
        <w:t>. Inclusion International. Retrieved from http://inclusion-international.org/wp-content/uploads/2013/07/Hear-Our-Voices-with-Covers.pdf</w:t>
      </w:r>
      <w:bookmarkEnd w:id="49"/>
    </w:p>
    <w:p w:rsidR="0084416B" w:rsidRPr="00377277" w:rsidRDefault="0084416B" w:rsidP="0084416B">
      <w:pPr>
        <w:pStyle w:val="EndnoteText"/>
        <w:ind w:left="720" w:hanging="720"/>
        <w:rPr>
          <w:rFonts w:cs="Arial"/>
          <w:noProof/>
          <w:sz w:val="24"/>
        </w:rPr>
      </w:pPr>
      <w:bookmarkStart w:id="50" w:name="_ENREF_28"/>
      <w:r w:rsidRPr="00377277">
        <w:rPr>
          <w:rFonts w:cs="Arial"/>
          <w:noProof/>
          <w:sz w:val="24"/>
        </w:rPr>
        <w:t xml:space="preserve">INEE. (2010). </w:t>
      </w:r>
      <w:r w:rsidRPr="00377277">
        <w:rPr>
          <w:rFonts w:cs="Arial"/>
          <w:i/>
          <w:noProof/>
          <w:sz w:val="24"/>
        </w:rPr>
        <w:t>INEE Minimum Standards for Education: Preparedness, Response, Recovery</w:t>
      </w:r>
      <w:r w:rsidRPr="00377277">
        <w:rPr>
          <w:rFonts w:cs="Arial"/>
          <w:noProof/>
          <w:sz w:val="24"/>
        </w:rPr>
        <w:t>. Retrieved from http://toolkit.ineesite.org/inee_minimum_standards/handbooks</w:t>
      </w:r>
      <w:bookmarkEnd w:id="50"/>
    </w:p>
    <w:p w:rsidR="0084416B" w:rsidRPr="00377277" w:rsidRDefault="0084416B" w:rsidP="0084416B">
      <w:pPr>
        <w:pStyle w:val="EndnoteText"/>
        <w:ind w:left="720" w:hanging="720"/>
        <w:rPr>
          <w:rFonts w:cs="Arial"/>
          <w:noProof/>
          <w:sz w:val="24"/>
        </w:rPr>
      </w:pPr>
      <w:bookmarkStart w:id="51" w:name="_ENREF_29"/>
      <w:r w:rsidRPr="00377277">
        <w:rPr>
          <w:rFonts w:cs="Arial"/>
          <w:noProof/>
          <w:sz w:val="24"/>
        </w:rPr>
        <w:t xml:space="preserve">Irish Aid. (2011). </w:t>
      </w:r>
      <w:r w:rsidRPr="00377277">
        <w:rPr>
          <w:rFonts w:cs="Arial"/>
          <w:i/>
          <w:noProof/>
          <w:sz w:val="24"/>
        </w:rPr>
        <w:t>Disability Inclusion Taskforce</w:t>
      </w:r>
      <w:r w:rsidRPr="00377277">
        <w:rPr>
          <w:rFonts w:cs="Arial"/>
          <w:noProof/>
          <w:sz w:val="24"/>
        </w:rPr>
        <w:t>. IrishAid. Retrieved from https://www.irishaid.ie/media/irishaid/allwebsitemedia/20newsandpublications/publicationpdfsenglish/whitepapersubmissions/disability-inclusion-taskforce.pdf</w:t>
      </w:r>
      <w:bookmarkEnd w:id="51"/>
    </w:p>
    <w:p w:rsidR="0084416B" w:rsidRPr="00377277" w:rsidRDefault="0084416B" w:rsidP="0084416B">
      <w:pPr>
        <w:pStyle w:val="EndnoteText"/>
        <w:ind w:left="720" w:hanging="720"/>
        <w:rPr>
          <w:rFonts w:cs="Arial"/>
          <w:noProof/>
          <w:sz w:val="24"/>
        </w:rPr>
      </w:pPr>
      <w:bookmarkStart w:id="52" w:name="_ENREF_30"/>
      <w:r w:rsidRPr="00377277">
        <w:rPr>
          <w:rFonts w:cs="Arial"/>
          <w:noProof/>
          <w:sz w:val="24"/>
        </w:rPr>
        <w:t>Juen, B. (2016). Identification and mapping of MHPSS Guidelines: A synthesis research report on key points resulting from the inventory. EUNAD IP-Project, p10. Retrieved from https://goo.gl/XVPk2a</w:t>
      </w:r>
      <w:bookmarkEnd w:id="52"/>
    </w:p>
    <w:p w:rsidR="0084416B" w:rsidRPr="00377277" w:rsidRDefault="0084416B" w:rsidP="0084416B">
      <w:pPr>
        <w:pStyle w:val="EndnoteText"/>
        <w:ind w:left="720" w:hanging="720"/>
        <w:rPr>
          <w:rFonts w:cs="Arial"/>
          <w:noProof/>
          <w:sz w:val="24"/>
        </w:rPr>
      </w:pPr>
      <w:bookmarkStart w:id="53" w:name="_ENREF_31"/>
      <w:r w:rsidRPr="00377277">
        <w:rPr>
          <w:rFonts w:cs="Arial"/>
          <w:noProof/>
          <w:sz w:val="24"/>
        </w:rPr>
        <w:t xml:space="preserve">Klynman, Y., Kouppari, N., &amp; Mukhier, M. (2007). </w:t>
      </w:r>
      <w:r w:rsidRPr="00377277">
        <w:rPr>
          <w:rFonts w:cs="Arial"/>
          <w:i/>
          <w:noProof/>
          <w:sz w:val="24"/>
        </w:rPr>
        <w:t>World Disasters Report: Focus on Discrimination</w:t>
      </w:r>
      <w:r w:rsidRPr="00377277">
        <w:rPr>
          <w:rFonts w:cs="Arial"/>
          <w:noProof/>
          <w:sz w:val="24"/>
        </w:rPr>
        <w:t>: International Federation of Red Cross &amp; Red Crescent Societies, Switzerland.</w:t>
      </w:r>
      <w:bookmarkEnd w:id="53"/>
    </w:p>
    <w:p w:rsidR="0084416B" w:rsidRPr="00377277" w:rsidRDefault="0084416B" w:rsidP="0084416B">
      <w:pPr>
        <w:pStyle w:val="EndnoteText"/>
        <w:ind w:left="720" w:hanging="720"/>
        <w:rPr>
          <w:rFonts w:cs="Arial"/>
          <w:noProof/>
          <w:sz w:val="24"/>
        </w:rPr>
      </w:pPr>
      <w:bookmarkStart w:id="54" w:name="_ENREF_32"/>
      <w:r w:rsidRPr="00377277">
        <w:rPr>
          <w:rFonts w:cs="Arial"/>
          <w:noProof/>
          <w:sz w:val="24"/>
        </w:rPr>
        <w:t xml:space="preserve">Lansdown, G. (2012). Using the Human Rights Framework to Promote the Rights of Children with Disabilities: An analysis of the synergies between CRC, CRPD and CEDAW. </w:t>
      </w:r>
      <w:r w:rsidRPr="00377277">
        <w:rPr>
          <w:rFonts w:cs="Arial"/>
          <w:i/>
          <w:noProof/>
          <w:sz w:val="24"/>
        </w:rPr>
        <w:t>New York, NY: UNICEF</w:t>
      </w:r>
      <w:r w:rsidRPr="00377277">
        <w:rPr>
          <w:rFonts w:cs="Arial"/>
          <w:noProof/>
          <w:sz w:val="24"/>
        </w:rPr>
        <w:t xml:space="preserve">. </w:t>
      </w:r>
      <w:bookmarkEnd w:id="54"/>
    </w:p>
    <w:p w:rsidR="0084416B" w:rsidRPr="00377277" w:rsidRDefault="0084416B" w:rsidP="0084416B">
      <w:pPr>
        <w:pStyle w:val="EndnoteText"/>
        <w:ind w:left="720" w:hanging="720"/>
        <w:rPr>
          <w:rFonts w:cs="Arial"/>
          <w:noProof/>
          <w:sz w:val="24"/>
        </w:rPr>
      </w:pPr>
      <w:bookmarkStart w:id="55" w:name="_ENREF_33"/>
      <w:r w:rsidRPr="00377277">
        <w:rPr>
          <w:rFonts w:cs="Arial"/>
          <w:noProof/>
          <w:sz w:val="24"/>
        </w:rPr>
        <w:t xml:space="preserve">Llosa, A. E., Ghantous, Z., Souza, R., Forgione, F., Bastin, P., Jones, A., . . . Grais, R. F. (2014). Mental disorders, disability and treatment gap in a protracted refugee setting. </w:t>
      </w:r>
      <w:r w:rsidRPr="00377277">
        <w:rPr>
          <w:rFonts w:cs="Arial"/>
          <w:i/>
          <w:noProof/>
          <w:sz w:val="24"/>
        </w:rPr>
        <w:t>The British Journal of Psychiatry, 204</w:t>
      </w:r>
      <w:r w:rsidRPr="00377277">
        <w:rPr>
          <w:rFonts w:cs="Arial"/>
          <w:noProof/>
          <w:sz w:val="24"/>
        </w:rPr>
        <w:t xml:space="preserve">(3), 208-213. </w:t>
      </w:r>
      <w:bookmarkEnd w:id="55"/>
    </w:p>
    <w:p w:rsidR="0084416B" w:rsidRPr="00377277" w:rsidRDefault="0084416B" w:rsidP="0084416B">
      <w:pPr>
        <w:pStyle w:val="EndnoteText"/>
        <w:ind w:left="720" w:hanging="720"/>
        <w:rPr>
          <w:rFonts w:cs="Arial"/>
          <w:noProof/>
          <w:sz w:val="24"/>
        </w:rPr>
      </w:pPr>
      <w:bookmarkStart w:id="56" w:name="_ENREF_34"/>
      <w:r w:rsidRPr="00377277">
        <w:rPr>
          <w:rFonts w:cs="Arial"/>
          <w:noProof/>
          <w:sz w:val="24"/>
        </w:rPr>
        <w:lastRenderedPageBreak/>
        <w:t xml:space="preserve">Marie, M., Hannigan, B., &amp; Jones, A. (2016). Mental health needs and services in the West Bank, Palestine. </w:t>
      </w:r>
      <w:r w:rsidRPr="00377277">
        <w:rPr>
          <w:rFonts w:cs="Arial"/>
          <w:i/>
          <w:noProof/>
          <w:sz w:val="24"/>
        </w:rPr>
        <w:t>International journal of mental health systems, 10</w:t>
      </w:r>
      <w:r w:rsidRPr="00377277">
        <w:rPr>
          <w:rFonts w:cs="Arial"/>
          <w:noProof/>
          <w:sz w:val="24"/>
        </w:rPr>
        <w:t xml:space="preserve">(1), 23. </w:t>
      </w:r>
      <w:bookmarkEnd w:id="56"/>
    </w:p>
    <w:p w:rsidR="0084416B" w:rsidRPr="00377277" w:rsidRDefault="0084416B" w:rsidP="0084416B">
      <w:pPr>
        <w:pStyle w:val="EndnoteText"/>
        <w:ind w:left="720" w:hanging="720"/>
        <w:rPr>
          <w:rFonts w:cs="Arial"/>
          <w:noProof/>
          <w:sz w:val="24"/>
        </w:rPr>
      </w:pPr>
      <w:bookmarkStart w:id="57" w:name="_ENREF_35"/>
      <w:r w:rsidRPr="00377277">
        <w:rPr>
          <w:rFonts w:cs="Arial"/>
          <w:noProof/>
          <w:sz w:val="24"/>
        </w:rPr>
        <w:t xml:space="preserve">Marquez, P., Walker, M. (2016). </w:t>
      </w:r>
      <w:r w:rsidRPr="00377277">
        <w:rPr>
          <w:rFonts w:cs="Arial"/>
          <w:i/>
          <w:noProof/>
          <w:sz w:val="24"/>
        </w:rPr>
        <w:t xml:space="preserve">Mental health services in situations of conflict, fragility and violence: What to do? [ blog post January 11] </w:t>
      </w:r>
      <w:r w:rsidRPr="00377277">
        <w:rPr>
          <w:rFonts w:cs="Arial"/>
          <w:noProof/>
          <w:sz w:val="24"/>
        </w:rPr>
        <w:t>Retrieved from https://blogs.worldbank.org/health/mental-health-services-situations-conflict-fragility-and-violence-what-do</w:t>
      </w:r>
      <w:bookmarkEnd w:id="57"/>
    </w:p>
    <w:p w:rsidR="0084416B" w:rsidRPr="00377277" w:rsidRDefault="0084416B" w:rsidP="0084416B">
      <w:pPr>
        <w:pStyle w:val="EndnoteText"/>
        <w:ind w:left="720" w:hanging="720"/>
        <w:rPr>
          <w:rFonts w:cs="Arial"/>
          <w:noProof/>
          <w:sz w:val="24"/>
        </w:rPr>
      </w:pPr>
      <w:bookmarkStart w:id="58" w:name="_ENREF_36"/>
      <w:r w:rsidRPr="00377277">
        <w:rPr>
          <w:rFonts w:cs="Arial"/>
          <w:noProof/>
          <w:sz w:val="24"/>
        </w:rPr>
        <w:t xml:space="preserve">McKenzie, J. (2013). Models of intellectual disability: towards a perspective of (poss) ability. </w:t>
      </w:r>
      <w:r w:rsidRPr="00377277">
        <w:rPr>
          <w:rFonts w:cs="Arial"/>
          <w:i/>
          <w:noProof/>
          <w:sz w:val="24"/>
        </w:rPr>
        <w:t>Journal of Intellectual Disability Research, 57</w:t>
      </w:r>
      <w:r w:rsidRPr="00377277">
        <w:rPr>
          <w:rFonts w:cs="Arial"/>
          <w:noProof/>
          <w:sz w:val="24"/>
        </w:rPr>
        <w:t xml:space="preserve">(4), 370-379. </w:t>
      </w:r>
      <w:bookmarkEnd w:id="58"/>
    </w:p>
    <w:p w:rsidR="0084416B" w:rsidRPr="00377277" w:rsidRDefault="0084416B" w:rsidP="0084416B">
      <w:pPr>
        <w:pStyle w:val="EndnoteText"/>
        <w:ind w:left="720" w:hanging="720"/>
        <w:rPr>
          <w:rFonts w:cs="Arial"/>
          <w:noProof/>
          <w:sz w:val="24"/>
        </w:rPr>
      </w:pPr>
      <w:bookmarkStart w:id="59" w:name="_ENREF_37"/>
      <w:r w:rsidRPr="00377277">
        <w:rPr>
          <w:rFonts w:cs="Arial"/>
          <w:noProof/>
          <w:sz w:val="24"/>
        </w:rPr>
        <w:t xml:space="preserve">Mezan Centre for Human Rights. (2001). </w:t>
      </w:r>
      <w:r w:rsidRPr="00377277">
        <w:rPr>
          <w:rFonts w:cs="Arial"/>
          <w:i/>
          <w:noProof/>
          <w:sz w:val="24"/>
        </w:rPr>
        <w:t>Challenges to right to mental health in The Gaza Strip (Arabic)</w:t>
      </w:r>
      <w:r w:rsidRPr="00377277">
        <w:rPr>
          <w:rFonts w:cs="Arial"/>
          <w:noProof/>
          <w:sz w:val="24"/>
        </w:rPr>
        <w:t>. Gaza: Mezan Centre for Human Rights. Retrieved from http://www.mezan.org/uploads/files/11376.pdf</w:t>
      </w:r>
      <w:bookmarkEnd w:id="59"/>
    </w:p>
    <w:p w:rsidR="0084416B" w:rsidRPr="00377277" w:rsidRDefault="0084416B" w:rsidP="0084416B">
      <w:pPr>
        <w:pStyle w:val="EndnoteText"/>
        <w:ind w:left="720" w:hanging="720"/>
        <w:rPr>
          <w:rFonts w:cs="Arial"/>
          <w:noProof/>
          <w:sz w:val="24"/>
        </w:rPr>
      </w:pPr>
      <w:bookmarkStart w:id="60" w:name="_ENREF_38"/>
      <w:r w:rsidRPr="00377277">
        <w:rPr>
          <w:rFonts w:cs="Arial"/>
          <w:noProof/>
          <w:sz w:val="24"/>
        </w:rPr>
        <w:t xml:space="preserve">Mirza, M. (2011). Disability and Humanitarianism in Refugee Camps: the case for a travelling supranational disability praxis. </w:t>
      </w:r>
      <w:r w:rsidRPr="00377277">
        <w:rPr>
          <w:rFonts w:cs="Arial"/>
          <w:i/>
          <w:noProof/>
          <w:sz w:val="24"/>
        </w:rPr>
        <w:t>Third World Quarterly, 32</w:t>
      </w:r>
      <w:r w:rsidRPr="00377277">
        <w:rPr>
          <w:rFonts w:cs="Arial"/>
          <w:noProof/>
          <w:sz w:val="24"/>
        </w:rPr>
        <w:t xml:space="preserve">(8), 1527-1536. </w:t>
      </w:r>
      <w:bookmarkEnd w:id="60"/>
    </w:p>
    <w:p w:rsidR="0084416B" w:rsidRPr="00377277" w:rsidRDefault="0084416B" w:rsidP="0084416B">
      <w:pPr>
        <w:pStyle w:val="EndnoteText"/>
        <w:ind w:left="720" w:hanging="720"/>
        <w:rPr>
          <w:rFonts w:cs="Arial"/>
          <w:noProof/>
          <w:sz w:val="24"/>
        </w:rPr>
      </w:pPr>
      <w:bookmarkStart w:id="61" w:name="_ENREF_39"/>
      <w:r w:rsidRPr="00377277">
        <w:rPr>
          <w:rFonts w:cs="Arial"/>
          <w:noProof/>
          <w:sz w:val="24"/>
        </w:rPr>
        <w:t xml:space="preserve">Mitchell, D. (2014). </w:t>
      </w:r>
      <w:r w:rsidRPr="00377277">
        <w:rPr>
          <w:rFonts w:cs="Arial"/>
          <w:i/>
          <w:noProof/>
          <w:sz w:val="24"/>
        </w:rPr>
        <w:t>Crises, conflict and disability: ensuring equality</w:t>
      </w:r>
      <w:r w:rsidRPr="00377277">
        <w:rPr>
          <w:rFonts w:cs="Arial"/>
          <w:noProof/>
          <w:sz w:val="24"/>
        </w:rPr>
        <w:t>: Routledge.</w:t>
      </w:r>
      <w:bookmarkEnd w:id="61"/>
    </w:p>
    <w:p w:rsidR="0084416B" w:rsidRPr="00377277" w:rsidRDefault="0084416B" w:rsidP="0084416B">
      <w:pPr>
        <w:pStyle w:val="EndnoteText"/>
        <w:ind w:left="720" w:hanging="720"/>
        <w:rPr>
          <w:rFonts w:cs="Arial"/>
          <w:noProof/>
          <w:sz w:val="24"/>
        </w:rPr>
      </w:pPr>
      <w:bookmarkStart w:id="62" w:name="_ENREF_40"/>
      <w:r w:rsidRPr="00377277">
        <w:rPr>
          <w:rFonts w:cs="Arial"/>
          <w:noProof/>
          <w:sz w:val="24"/>
        </w:rPr>
        <w:t xml:space="preserve">Mohanraj, A. (2014). </w:t>
      </w:r>
      <w:r w:rsidRPr="00377277">
        <w:rPr>
          <w:rFonts w:cs="Arial"/>
          <w:i/>
          <w:noProof/>
          <w:sz w:val="24"/>
        </w:rPr>
        <w:t>Mental Well-being and disability after the Indian Ocean Tsunami- Best Practices and lessons learned</w:t>
      </w:r>
      <w:r w:rsidRPr="00377277">
        <w:rPr>
          <w:rFonts w:cs="Arial"/>
          <w:noProof/>
          <w:sz w:val="24"/>
        </w:rPr>
        <w:t>. Tokyo: Expert Group Meeting Mental Well-being, Disability and Disaster Risk Reduction, November 2014. Retrieved from https://www.youtube.com/watch?v=IzzqqgLPfOQ&amp;index=2&amp;list=PL8QnLThpVNcWJ7aDc9pJRFCdqP8TUHGsq</w:t>
      </w:r>
      <w:bookmarkEnd w:id="62"/>
    </w:p>
    <w:p w:rsidR="0084416B" w:rsidRPr="00377277" w:rsidRDefault="0084416B" w:rsidP="0084416B">
      <w:pPr>
        <w:pStyle w:val="EndnoteText"/>
        <w:ind w:left="720" w:hanging="720"/>
        <w:rPr>
          <w:rFonts w:cs="Arial"/>
          <w:noProof/>
          <w:sz w:val="24"/>
        </w:rPr>
      </w:pPr>
      <w:bookmarkStart w:id="63" w:name="_ENREF_41"/>
      <w:r w:rsidRPr="00377277">
        <w:rPr>
          <w:rFonts w:cs="Arial"/>
          <w:noProof/>
          <w:sz w:val="24"/>
        </w:rPr>
        <w:t>OCHA. (2017). Weather and natural disasters: Occupied Palestinian Territory. from https://www.ochaopt.org/theme/weather-and-natural-disasters</w:t>
      </w:r>
      <w:bookmarkEnd w:id="63"/>
    </w:p>
    <w:p w:rsidR="0084416B" w:rsidRPr="00377277" w:rsidRDefault="0084416B" w:rsidP="0084416B">
      <w:pPr>
        <w:pStyle w:val="EndnoteText"/>
        <w:ind w:left="720" w:hanging="720"/>
        <w:rPr>
          <w:rFonts w:cs="Arial"/>
          <w:noProof/>
          <w:sz w:val="24"/>
        </w:rPr>
      </w:pPr>
      <w:bookmarkStart w:id="64" w:name="_ENREF_42"/>
      <w:r w:rsidRPr="00377277">
        <w:rPr>
          <w:rFonts w:cs="Arial"/>
          <w:noProof/>
          <w:sz w:val="24"/>
        </w:rPr>
        <w:t xml:space="preserve">Office of High Commissioner for Human Rights. (2017). Gaza: people with disabilities disproportionately affected by the energy and salary crisis. </w:t>
      </w:r>
      <w:r w:rsidRPr="00377277">
        <w:rPr>
          <w:rFonts w:cs="Arial"/>
          <w:i/>
          <w:noProof/>
          <w:sz w:val="24"/>
        </w:rPr>
        <w:t>The Monthly Humanitarian Bulletin</w:t>
      </w:r>
      <w:r w:rsidRPr="00377277">
        <w:rPr>
          <w:rFonts w:cs="Arial"/>
          <w:noProof/>
          <w:sz w:val="24"/>
        </w:rPr>
        <w:t>.</w:t>
      </w:r>
      <w:bookmarkEnd w:id="64"/>
    </w:p>
    <w:p w:rsidR="0084416B" w:rsidRPr="00377277" w:rsidRDefault="0084416B" w:rsidP="0084416B">
      <w:pPr>
        <w:pStyle w:val="EndnoteText"/>
        <w:ind w:left="720" w:hanging="720"/>
        <w:rPr>
          <w:rFonts w:cs="Arial"/>
          <w:noProof/>
          <w:sz w:val="24"/>
        </w:rPr>
      </w:pPr>
      <w:bookmarkStart w:id="65" w:name="_ENREF_43"/>
      <w:r w:rsidRPr="00377277">
        <w:rPr>
          <w:rFonts w:cs="Arial"/>
          <w:noProof/>
          <w:sz w:val="24"/>
        </w:rPr>
        <w:t xml:space="preserve">Palestinian Ministry of Social Affairs. (2009). </w:t>
      </w:r>
      <w:r w:rsidRPr="00377277">
        <w:rPr>
          <w:rFonts w:cs="Arial"/>
          <w:i/>
          <w:noProof/>
          <w:sz w:val="24"/>
        </w:rPr>
        <w:t>The Actual reality of people with disabilities in Palestine: Challenges and opportunities (Arabic)</w:t>
      </w:r>
      <w:r w:rsidRPr="00377277">
        <w:rPr>
          <w:rFonts w:cs="Arial"/>
          <w:noProof/>
          <w:sz w:val="24"/>
        </w:rPr>
        <w:t>. Retrieved from http://www.mosa.pna.ps/sites/default/files/studies_research_files/</w:t>
      </w:r>
      <w:r w:rsidRPr="00377277">
        <w:rPr>
          <w:rFonts w:cs="Arial"/>
          <w:noProof/>
          <w:sz w:val="24"/>
          <w:rtl/>
        </w:rPr>
        <w:t>واقع%20المعاقين%20في%20الاراضي%20الفلسطينية</w:t>
      </w:r>
      <w:r w:rsidRPr="00377277">
        <w:rPr>
          <w:rFonts w:cs="Arial"/>
          <w:noProof/>
          <w:sz w:val="24"/>
        </w:rPr>
        <w:t xml:space="preserve">.doc </w:t>
      </w:r>
      <w:bookmarkEnd w:id="65"/>
    </w:p>
    <w:p w:rsidR="0084416B" w:rsidRPr="00377277" w:rsidRDefault="0084416B" w:rsidP="0084416B">
      <w:pPr>
        <w:pStyle w:val="EndnoteText"/>
        <w:ind w:left="720" w:hanging="720"/>
        <w:rPr>
          <w:rFonts w:cs="Arial"/>
          <w:noProof/>
          <w:sz w:val="24"/>
        </w:rPr>
      </w:pPr>
      <w:bookmarkStart w:id="66" w:name="_ENREF_44"/>
      <w:r w:rsidRPr="00377277">
        <w:rPr>
          <w:rFonts w:cs="Arial"/>
          <w:noProof/>
          <w:sz w:val="24"/>
        </w:rPr>
        <w:t>Palestinian Refugee News Network In Lebanon. (2017). Médecins Sans Frontières (MSF) is following the psychological disorders of Palestinian refugees in Lebanon (Arabic),</w:t>
      </w:r>
      <w:r w:rsidRPr="00377277">
        <w:rPr>
          <w:rFonts w:cs="Arial"/>
          <w:i/>
          <w:noProof/>
          <w:sz w:val="24"/>
        </w:rPr>
        <w:t xml:space="preserve"> Palestinian Refugee News Network In Lebanon</w:t>
      </w:r>
      <w:r w:rsidRPr="00377277">
        <w:rPr>
          <w:rFonts w:cs="Arial"/>
          <w:noProof/>
          <w:sz w:val="24"/>
        </w:rPr>
        <w:t>. Retrieved from http://laji-net.net/arabic/default.asp?contentID=950</w:t>
      </w:r>
      <w:bookmarkEnd w:id="66"/>
    </w:p>
    <w:p w:rsidR="0084416B" w:rsidRPr="00377277" w:rsidRDefault="0084416B" w:rsidP="0084416B">
      <w:pPr>
        <w:pStyle w:val="EndnoteText"/>
        <w:ind w:left="720" w:hanging="720"/>
        <w:rPr>
          <w:rFonts w:cs="Arial"/>
          <w:noProof/>
          <w:sz w:val="24"/>
        </w:rPr>
      </w:pPr>
      <w:bookmarkStart w:id="67" w:name="_ENREF_45"/>
      <w:r w:rsidRPr="00377277">
        <w:rPr>
          <w:rFonts w:cs="Arial"/>
          <w:noProof/>
          <w:sz w:val="24"/>
        </w:rPr>
        <w:t>Red Cross and Red Crescent. (2011). The Sphere Handbook: Humanitarian charter and minimum standards in humanitarian response: The Sphere Project.</w:t>
      </w:r>
      <w:bookmarkEnd w:id="67"/>
    </w:p>
    <w:p w:rsidR="0084416B" w:rsidRPr="00377277" w:rsidRDefault="0084416B" w:rsidP="0084416B">
      <w:pPr>
        <w:pStyle w:val="EndnoteText"/>
        <w:ind w:left="720" w:hanging="720"/>
        <w:rPr>
          <w:rFonts w:cs="Arial"/>
          <w:noProof/>
          <w:sz w:val="24"/>
        </w:rPr>
      </w:pPr>
      <w:bookmarkStart w:id="68" w:name="_ENREF_46"/>
      <w:r w:rsidRPr="00377277">
        <w:rPr>
          <w:rFonts w:cs="Arial"/>
          <w:noProof/>
          <w:sz w:val="24"/>
        </w:rPr>
        <w:t xml:space="preserve">Rohwerder, B. (2013). Intellectual disabilities, violent conflict and humanitarian assistance: Advocacy of the forgotten. </w:t>
      </w:r>
      <w:r w:rsidRPr="00377277">
        <w:rPr>
          <w:rFonts w:cs="Arial"/>
          <w:i/>
          <w:noProof/>
          <w:sz w:val="24"/>
        </w:rPr>
        <w:t>Disability &amp; Society, 28</w:t>
      </w:r>
      <w:r w:rsidRPr="00377277">
        <w:rPr>
          <w:rFonts w:cs="Arial"/>
          <w:noProof/>
          <w:sz w:val="24"/>
        </w:rPr>
        <w:t xml:space="preserve">(6), 770-783. </w:t>
      </w:r>
      <w:bookmarkEnd w:id="68"/>
    </w:p>
    <w:p w:rsidR="0084416B" w:rsidRPr="00377277" w:rsidRDefault="0084416B" w:rsidP="0084416B">
      <w:pPr>
        <w:pStyle w:val="EndnoteText"/>
        <w:ind w:left="720" w:hanging="720"/>
        <w:rPr>
          <w:rFonts w:cs="Arial"/>
          <w:noProof/>
          <w:sz w:val="24"/>
        </w:rPr>
      </w:pPr>
      <w:bookmarkStart w:id="69" w:name="_ENREF_47"/>
      <w:r w:rsidRPr="00377277">
        <w:rPr>
          <w:rFonts w:cs="Arial"/>
          <w:noProof/>
          <w:sz w:val="24"/>
        </w:rPr>
        <w:t xml:space="preserve">Rohwerder, B. (2015). </w:t>
      </w:r>
      <w:r w:rsidRPr="00377277">
        <w:rPr>
          <w:rFonts w:cs="Arial"/>
          <w:i/>
          <w:noProof/>
          <w:sz w:val="24"/>
        </w:rPr>
        <w:t>Disability inclusion. Topic Guide</w:t>
      </w:r>
      <w:r w:rsidRPr="00377277">
        <w:rPr>
          <w:rFonts w:cs="Arial"/>
          <w:noProof/>
          <w:sz w:val="24"/>
        </w:rPr>
        <w:t>. GSDRC Applied Knowledge Service. Retrieved from http://www.usicd.org/doc/Disability%20Inclusion%20Topic%20guide%202015.pdf</w:t>
      </w:r>
      <w:bookmarkEnd w:id="69"/>
    </w:p>
    <w:p w:rsidR="0084416B" w:rsidRPr="00377277" w:rsidRDefault="0084416B" w:rsidP="0084416B">
      <w:pPr>
        <w:pStyle w:val="EndnoteText"/>
        <w:ind w:left="720" w:hanging="720"/>
        <w:rPr>
          <w:rFonts w:cs="Arial"/>
          <w:noProof/>
          <w:sz w:val="24"/>
        </w:rPr>
      </w:pPr>
      <w:bookmarkStart w:id="70" w:name="_ENREF_48"/>
      <w:r w:rsidRPr="00377277">
        <w:rPr>
          <w:rFonts w:cs="Arial"/>
          <w:noProof/>
          <w:sz w:val="24"/>
        </w:rPr>
        <w:t xml:space="preserve">Rohwerder, B. (2017). Disability Inclusive Humanitarian Response. </w:t>
      </w:r>
      <w:bookmarkEnd w:id="70"/>
    </w:p>
    <w:p w:rsidR="0084416B" w:rsidRPr="00377277" w:rsidRDefault="0084416B" w:rsidP="0084416B">
      <w:pPr>
        <w:pStyle w:val="EndnoteText"/>
        <w:ind w:left="720" w:hanging="720"/>
        <w:rPr>
          <w:rFonts w:cs="Arial"/>
          <w:noProof/>
          <w:sz w:val="24"/>
        </w:rPr>
      </w:pPr>
      <w:bookmarkStart w:id="71" w:name="_ENREF_49"/>
      <w:r w:rsidRPr="00377277">
        <w:rPr>
          <w:rFonts w:cs="Arial"/>
          <w:noProof/>
          <w:sz w:val="24"/>
        </w:rPr>
        <w:t xml:space="preserve">Ronoh, S., Gaillard, J., &amp; Marlowe, J. (2015). Children with disabilities and disaster risk reduction: A review. </w:t>
      </w:r>
      <w:r w:rsidRPr="00377277">
        <w:rPr>
          <w:rFonts w:cs="Arial"/>
          <w:i/>
          <w:noProof/>
          <w:sz w:val="24"/>
        </w:rPr>
        <w:t>International Journal of Disaster Risk Science, 6</w:t>
      </w:r>
      <w:r w:rsidRPr="00377277">
        <w:rPr>
          <w:rFonts w:cs="Arial"/>
          <w:noProof/>
          <w:sz w:val="24"/>
        </w:rPr>
        <w:t xml:space="preserve">(1), 38-48. </w:t>
      </w:r>
      <w:bookmarkEnd w:id="71"/>
    </w:p>
    <w:p w:rsidR="0084416B" w:rsidRPr="00377277" w:rsidRDefault="0084416B" w:rsidP="0084416B">
      <w:pPr>
        <w:pStyle w:val="EndnoteText"/>
        <w:ind w:left="720" w:hanging="720"/>
        <w:rPr>
          <w:rFonts w:cs="Arial"/>
          <w:noProof/>
          <w:sz w:val="24"/>
        </w:rPr>
      </w:pPr>
      <w:bookmarkStart w:id="72" w:name="_ENREF_50"/>
      <w:r w:rsidRPr="00377277">
        <w:rPr>
          <w:rFonts w:cs="Arial"/>
          <w:noProof/>
          <w:sz w:val="24"/>
        </w:rPr>
        <w:t xml:space="preserve">Scior, K., Hamid, A., Hastings, R., Werner, S., Belton, C., Laniyan, A., . . . Kett, M. (2015). </w:t>
      </w:r>
      <w:r w:rsidRPr="00377277">
        <w:rPr>
          <w:rFonts w:cs="Arial"/>
          <w:i/>
          <w:noProof/>
          <w:sz w:val="24"/>
        </w:rPr>
        <w:t>Intellectual Disabilities: Raising Awareness and Combating Stigma - A Global Review</w:t>
      </w:r>
      <w:r w:rsidRPr="00377277">
        <w:rPr>
          <w:rFonts w:cs="Arial"/>
          <w:noProof/>
          <w:sz w:val="24"/>
        </w:rPr>
        <w:t>. London: University College London.</w:t>
      </w:r>
      <w:bookmarkEnd w:id="72"/>
    </w:p>
    <w:p w:rsidR="0084416B" w:rsidRPr="00377277" w:rsidRDefault="0084416B" w:rsidP="0084416B">
      <w:pPr>
        <w:pStyle w:val="EndnoteText"/>
        <w:ind w:left="720" w:hanging="720"/>
        <w:rPr>
          <w:rFonts w:cs="Arial"/>
          <w:noProof/>
          <w:sz w:val="24"/>
        </w:rPr>
      </w:pPr>
      <w:bookmarkStart w:id="73" w:name="_ENREF_51"/>
      <w:r w:rsidRPr="00377277">
        <w:rPr>
          <w:rFonts w:cs="Arial"/>
          <w:noProof/>
          <w:sz w:val="24"/>
        </w:rPr>
        <w:lastRenderedPageBreak/>
        <w:t>Shani, A. (2017). Gaza Kids Live in Hell: A Psychologist Tells of Rampant Sexual Abuse, Drugs and Despair,</w:t>
      </w:r>
      <w:r w:rsidRPr="00377277">
        <w:rPr>
          <w:rFonts w:cs="Arial"/>
          <w:i/>
          <w:noProof/>
          <w:sz w:val="24"/>
        </w:rPr>
        <w:t xml:space="preserve"> Haaretz</w:t>
      </w:r>
      <w:r w:rsidRPr="00377277">
        <w:rPr>
          <w:rFonts w:cs="Arial"/>
          <w:noProof/>
          <w:sz w:val="24"/>
        </w:rPr>
        <w:t>. Retrieved from https://www.haaretz.com/middle-east-news/palestinians/1.821771</w:t>
      </w:r>
      <w:bookmarkEnd w:id="73"/>
    </w:p>
    <w:p w:rsidR="0084416B" w:rsidRPr="00377277" w:rsidRDefault="0084416B" w:rsidP="0084416B">
      <w:pPr>
        <w:pStyle w:val="EndnoteText"/>
        <w:ind w:left="720" w:hanging="720"/>
        <w:rPr>
          <w:rFonts w:cs="Arial"/>
          <w:noProof/>
          <w:sz w:val="24"/>
        </w:rPr>
      </w:pPr>
      <w:bookmarkStart w:id="74" w:name="_ENREF_52"/>
      <w:r w:rsidRPr="00377277">
        <w:rPr>
          <w:rFonts w:cs="Arial"/>
          <w:noProof/>
          <w:sz w:val="24"/>
        </w:rPr>
        <w:t xml:space="preserve">Shehadeh, S. (2015). The 2014 War on Gaza: engineering trauma and mass torture to break Palestinian resilience. </w:t>
      </w:r>
      <w:r w:rsidRPr="00377277">
        <w:rPr>
          <w:rFonts w:cs="Arial"/>
          <w:i/>
          <w:noProof/>
          <w:sz w:val="24"/>
        </w:rPr>
        <w:t>International Journal of Applied Psychoanalytic Studies, 12</w:t>
      </w:r>
      <w:r w:rsidRPr="00377277">
        <w:rPr>
          <w:rFonts w:cs="Arial"/>
          <w:noProof/>
          <w:sz w:val="24"/>
        </w:rPr>
        <w:t xml:space="preserve">(3), 278-294. </w:t>
      </w:r>
      <w:bookmarkEnd w:id="74"/>
    </w:p>
    <w:p w:rsidR="0084416B" w:rsidRPr="00377277" w:rsidRDefault="0084416B" w:rsidP="0084416B">
      <w:pPr>
        <w:pStyle w:val="EndnoteText"/>
        <w:ind w:left="720" w:hanging="720"/>
        <w:rPr>
          <w:rFonts w:cs="Arial"/>
          <w:noProof/>
          <w:sz w:val="24"/>
        </w:rPr>
      </w:pPr>
      <w:bookmarkStart w:id="75" w:name="_ENREF_53"/>
      <w:r w:rsidRPr="00377277">
        <w:rPr>
          <w:rFonts w:cs="Arial"/>
          <w:noProof/>
          <w:sz w:val="24"/>
        </w:rPr>
        <w:t xml:space="preserve">Smith, F., Jolly, E., &amp; Schmidt, E. (2012). </w:t>
      </w:r>
      <w:r w:rsidRPr="00377277">
        <w:rPr>
          <w:rFonts w:cs="Arial"/>
          <w:i/>
          <w:noProof/>
          <w:sz w:val="24"/>
        </w:rPr>
        <w:t>Disability and Disasters: The importance of an inclusive approach to vulnerability and social capital</w:t>
      </w:r>
      <w:r w:rsidRPr="00377277">
        <w:rPr>
          <w:rFonts w:cs="Arial"/>
          <w:noProof/>
          <w:sz w:val="24"/>
        </w:rPr>
        <w:t>. Sightsavers. Retrieved from https://www.sistemaprotezionecivile.it/allegati/1476_Disability_and_disasters.pdf</w:t>
      </w:r>
      <w:bookmarkEnd w:id="75"/>
    </w:p>
    <w:p w:rsidR="0084416B" w:rsidRPr="00377277" w:rsidRDefault="0084416B" w:rsidP="0084416B">
      <w:pPr>
        <w:pStyle w:val="EndnoteText"/>
        <w:ind w:left="720" w:hanging="720"/>
        <w:rPr>
          <w:rFonts w:cs="Arial"/>
          <w:noProof/>
          <w:sz w:val="24"/>
        </w:rPr>
      </w:pPr>
      <w:bookmarkStart w:id="76" w:name="_ENREF_54"/>
      <w:r w:rsidRPr="00377277">
        <w:rPr>
          <w:rFonts w:cs="Arial"/>
          <w:noProof/>
          <w:sz w:val="24"/>
        </w:rPr>
        <w:t xml:space="preserve">Spurway, K., &amp; Griffiths, T. (2016). Disability-inclusive disaster risk reduction: Vulnerability and resilience discourses, policies and practices </w:t>
      </w:r>
      <w:r w:rsidRPr="00377277">
        <w:rPr>
          <w:rFonts w:cs="Arial"/>
          <w:i/>
          <w:noProof/>
          <w:sz w:val="24"/>
        </w:rPr>
        <w:t>Disability in the Global South</w:t>
      </w:r>
      <w:r w:rsidRPr="00377277">
        <w:rPr>
          <w:rFonts w:cs="Arial"/>
          <w:noProof/>
          <w:sz w:val="24"/>
        </w:rPr>
        <w:t xml:space="preserve"> (pp. 469-482): Springer.</w:t>
      </w:r>
      <w:bookmarkEnd w:id="76"/>
    </w:p>
    <w:p w:rsidR="0084416B" w:rsidRPr="00377277" w:rsidRDefault="0084416B" w:rsidP="0084416B">
      <w:pPr>
        <w:pStyle w:val="EndnoteText"/>
        <w:ind w:left="720" w:hanging="720"/>
        <w:rPr>
          <w:rFonts w:cs="Arial"/>
          <w:noProof/>
          <w:sz w:val="24"/>
        </w:rPr>
      </w:pPr>
      <w:bookmarkStart w:id="77" w:name="_ENREF_55"/>
      <w:r w:rsidRPr="00377277">
        <w:rPr>
          <w:rFonts w:cs="Arial"/>
          <w:noProof/>
          <w:sz w:val="24"/>
        </w:rPr>
        <w:t xml:space="preserve">Thabet, A. M., &amp; Thabet, S. S. (2016). The relationship between trauma due to winter storm alexa, PTSD, mental health of Palestinians in the Gaza Strip. </w:t>
      </w:r>
      <w:r w:rsidRPr="00377277">
        <w:rPr>
          <w:rFonts w:cs="Arial"/>
          <w:i/>
          <w:noProof/>
          <w:sz w:val="24"/>
        </w:rPr>
        <w:t>Research in Health Science, 1</w:t>
      </w:r>
      <w:r w:rsidRPr="00377277">
        <w:rPr>
          <w:rFonts w:cs="Arial"/>
          <w:noProof/>
          <w:sz w:val="24"/>
        </w:rPr>
        <w:t xml:space="preserve">(1), 11. </w:t>
      </w:r>
      <w:bookmarkEnd w:id="77"/>
    </w:p>
    <w:p w:rsidR="0084416B" w:rsidRPr="00377277" w:rsidRDefault="0084416B" w:rsidP="0084416B">
      <w:pPr>
        <w:pStyle w:val="EndnoteText"/>
        <w:ind w:left="720" w:hanging="720"/>
        <w:rPr>
          <w:rFonts w:cs="Arial"/>
          <w:noProof/>
          <w:sz w:val="24"/>
        </w:rPr>
      </w:pPr>
      <w:bookmarkStart w:id="78" w:name="_ENREF_56"/>
      <w:r w:rsidRPr="00377277">
        <w:rPr>
          <w:rFonts w:cs="Arial"/>
          <w:noProof/>
          <w:sz w:val="24"/>
        </w:rPr>
        <w:t xml:space="preserve">Tol, W. A., Barbui, C., Galappatti, A., Silove, D., Betancourt, T. S., Souza, R., . . . Van Ommeren, M. (2011). Mental health and psychosocial support in humanitarian settings: linking practice and research. </w:t>
      </w:r>
      <w:r w:rsidRPr="00377277">
        <w:rPr>
          <w:rFonts w:cs="Arial"/>
          <w:i/>
          <w:noProof/>
          <w:sz w:val="24"/>
        </w:rPr>
        <w:t>The Lancet, 378</w:t>
      </w:r>
      <w:r w:rsidRPr="00377277">
        <w:rPr>
          <w:rFonts w:cs="Arial"/>
          <w:noProof/>
          <w:sz w:val="24"/>
        </w:rPr>
        <w:t xml:space="preserve">(9802), 1581-1591. </w:t>
      </w:r>
      <w:bookmarkEnd w:id="78"/>
    </w:p>
    <w:p w:rsidR="0084416B" w:rsidRPr="00377277" w:rsidRDefault="0084416B" w:rsidP="0084416B">
      <w:pPr>
        <w:pStyle w:val="EndnoteText"/>
        <w:ind w:left="720" w:hanging="720"/>
        <w:rPr>
          <w:rFonts w:cs="Arial"/>
          <w:noProof/>
          <w:sz w:val="24"/>
        </w:rPr>
      </w:pPr>
      <w:bookmarkStart w:id="79" w:name="_ENREF_57"/>
      <w:r w:rsidRPr="00377277">
        <w:rPr>
          <w:rFonts w:cs="Arial"/>
          <w:noProof/>
          <w:sz w:val="24"/>
        </w:rPr>
        <w:t xml:space="preserve">Twigg, J. (2015). Disaster risk reduction. </w:t>
      </w:r>
      <w:r w:rsidRPr="00377277">
        <w:rPr>
          <w:rFonts w:cs="Arial"/>
          <w:i/>
          <w:noProof/>
          <w:sz w:val="24"/>
        </w:rPr>
        <w:t>London: Humanitarian Policy Group Overseas Development Institute</w:t>
      </w:r>
      <w:r w:rsidRPr="00377277">
        <w:rPr>
          <w:rFonts w:cs="Arial"/>
          <w:noProof/>
          <w:sz w:val="24"/>
        </w:rPr>
        <w:t xml:space="preserve">. </w:t>
      </w:r>
      <w:bookmarkEnd w:id="79"/>
    </w:p>
    <w:p w:rsidR="0084416B" w:rsidRPr="00377277" w:rsidRDefault="0084416B" w:rsidP="0084416B">
      <w:pPr>
        <w:pStyle w:val="EndnoteText"/>
        <w:ind w:left="720" w:hanging="720"/>
        <w:rPr>
          <w:rFonts w:cs="Arial"/>
          <w:noProof/>
          <w:sz w:val="24"/>
        </w:rPr>
      </w:pPr>
      <w:bookmarkStart w:id="80" w:name="_ENREF_58"/>
      <w:r w:rsidRPr="00377277">
        <w:rPr>
          <w:rFonts w:cs="Arial"/>
          <w:noProof/>
          <w:sz w:val="24"/>
        </w:rPr>
        <w:t xml:space="preserve">UN. (2007). United Nations Convention on the Rights of Persons with Disabilities. </w:t>
      </w:r>
      <w:r w:rsidRPr="00377277">
        <w:rPr>
          <w:rFonts w:cs="Arial"/>
          <w:i/>
          <w:noProof/>
          <w:sz w:val="24"/>
        </w:rPr>
        <w:t>UN, New York</w:t>
      </w:r>
      <w:r w:rsidRPr="00377277">
        <w:rPr>
          <w:rFonts w:cs="Arial"/>
          <w:noProof/>
          <w:sz w:val="24"/>
        </w:rPr>
        <w:t xml:space="preserve">. </w:t>
      </w:r>
      <w:bookmarkEnd w:id="80"/>
    </w:p>
    <w:p w:rsidR="0084416B" w:rsidRPr="00377277" w:rsidRDefault="0084416B" w:rsidP="0084416B">
      <w:pPr>
        <w:pStyle w:val="EndnoteText"/>
        <w:ind w:left="720" w:hanging="720"/>
        <w:rPr>
          <w:rFonts w:cs="Arial"/>
          <w:noProof/>
          <w:sz w:val="24"/>
        </w:rPr>
      </w:pPr>
      <w:bookmarkStart w:id="81" w:name="_ENREF_59"/>
      <w:r w:rsidRPr="00377277">
        <w:rPr>
          <w:rFonts w:cs="Arial"/>
          <w:noProof/>
          <w:sz w:val="24"/>
        </w:rPr>
        <w:t xml:space="preserve">UN General Assembly. (2015). The Sendai Framework for Disaster Risk Reduction 2015–2030. </w:t>
      </w:r>
      <w:r w:rsidRPr="00377277">
        <w:rPr>
          <w:rFonts w:cs="Arial"/>
          <w:i/>
          <w:noProof/>
          <w:sz w:val="24"/>
        </w:rPr>
        <w:t>Resolution A/Res/69/283, see http://www. unisdr. org/files/resolutions N, 1516716</w:t>
      </w:r>
      <w:r w:rsidRPr="00377277">
        <w:rPr>
          <w:rFonts w:cs="Arial"/>
          <w:noProof/>
          <w:sz w:val="24"/>
        </w:rPr>
        <w:t xml:space="preserve">. </w:t>
      </w:r>
      <w:bookmarkEnd w:id="81"/>
    </w:p>
    <w:p w:rsidR="0084416B" w:rsidRPr="00377277" w:rsidRDefault="0084416B" w:rsidP="0084416B">
      <w:pPr>
        <w:pStyle w:val="EndnoteText"/>
        <w:ind w:left="720" w:hanging="720"/>
        <w:rPr>
          <w:rFonts w:cs="Arial"/>
          <w:noProof/>
          <w:sz w:val="24"/>
        </w:rPr>
      </w:pPr>
      <w:bookmarkStart w:id="82" w:name="_ENREF_60"/>
      <w:r w:rsidRPr="00377277">
        <w:rPr>
          <w:rFonts w:cs="Arial"/>
          <w:noProof/>
          <w:sz w:val="24"/>
        </w:rPr>
        <w:t xml:space="preserve">UNDESA UNISDR Nippon Foundation. (2013). </w:t>
      </w:r>
      <w:r w:rsidRPr="00377277">
        <w:rPr>
          <w:rFonts w:cs="Arial"/>
          <w:i/>
          <w:noProof/>
          <w:sz w:val="24"/>
        </w:rPr>
        <w:t>Panel Discussion on Disaster Resilience and Disability: Ensuring Equality and Inclusion</w:t>
      </w:r>
      <w:r w:rsidRPr="00377277">
        <w:rPr>
          <w:rFonts w:cs="Arial"/>
          <w:noProof/>
          <w:sz w:val="24"/>
        </w:rPr>
        <w:t>. UNDESA, UNISDR in collaboration with Indonesia and Norway and the Nippon Foundation. Retrieved from http://www.un.org/disabilities/documents/reports/iddr2013_%20panelreport.pdf</w:t>
      </w:r>
      <w:bookmarkEnd w:id="82"/>
    </w:p>
    <w:p w:rsidR="0084416B" w:rsidRPr="00377277" w:rsidRDefault="0084416B" w:rsidP="0084416B">
      <w:pPr>
        <w:pStyle w:val="EndnoteText"/>
        <w:ind w:left="720" w:hanging="720"/>
        <w:rPr>
          <w:rFonts w:cs="Arial"/>
          <w:noProof/>
          <w:sz w:val="24"/>
        </w:rPr>
      </w:pPr>
      <w:bookmarkStart w:id="83" w:name="_ENREF_61"/>
      <w:r w:rsidRPr="00377277">
        <w:rPr>
          <w:rFonts w:cs="Arial"/>
          <w:noProof/>
          <w:sz w:val="24"/>
        </w:rPr>
        <w:t xml:space="preserve">UNHCR. (2016). </w:t>
      </w:r>
      <w:r w:rsidRPr="00377277">
        <w:rPr>
          <w:rFonts w:cs="Arial"/>
          <w:i/>
          <w:noProof/>
          <w:sz w:val="24"/>
        </w:rPr>
        <w:t>The situation of Palestininan refugees in Lebanon</w:t>
      </w:r>
      <w:r w:rsidRPr="00377277">
        <w:rPr>
          <w:rFonts w:cs="Arial"/>
          <w:noProof/>
          <w:sz w:val="24"/>
        </w:rPr>
        <w:t>. Retrieved from http://www.refworld.org/pdfid/56cc95484.pdf</w:t>
      </w:r>
      <w:bookmarkEnd w:id="83"/>
    </w:p>
    <w:p w:rsidR="0084416B" w:rsidRPr="00377277" w:rsidRDefault="0084416B" w:rsidP="0084416B">
      <w:pPr>
        <w:pStyle w:val="EndnoteText"/>
        <w:ind w:left="720" w:hanging="720"/>
        <w:rPr>
          <w:rFonts w:cs="Arial"/>
          <w:noProof/>
          <w:sz w:val="24"/>
        </w:rPr>
      </w:pPr>
      <w:bookmarkStart w:id="84" w:name="_ENREF_62"/>
      <w:r w:rsidRPr="00377277">
        <w:rPr>
          <w:rFonts w:cs="Arial"/>
          <w:noProof/>
          <w:sz w:val="24"/>
        </w:rPr>
        <w:t xml:space="preserve">UNICEF. (2016). </w:t>
      </w:r>
      <w:r w:rsidRPr="00377277">
        <w:rPr>
          <w:rFonts w:cs="Arial"/>
          <w:i/>
          <w:noProof/>
          <w:sz w:val="24"/>
        </w:rPr>
        <w:t>Every child counts: understanding the needs and perspectives of children with disabilities in the State of Palestine</w:t>
      </w:r>
      <w:r w:rsidRPr="00377277">
        <w:rPr>
          <w:rFonts w:cs="Arial"/>
          <w:noProof/>
          <w:sz w:val="24"/>
        </w:rPr>
        <w:t>. Overseas Development Institute; Government of the State of Palestine; UNICEF. Retrieved from https://reliefweb.int/report/occupied-palestinian-territory/every-child-counts-understanding-needs-and-perspectives</w:t>
      </w:r>
      <w:bookmarkEnd w:id="84"/>
    </w:p>
    <w:p w:rsidR="0084416B" w:rsidRPr="00377277" w:rsidRDefault="0084416B" w:rsidP="0084416B">
      <w:pPr>
        <w:pStyle w:val="EndnoteText"/>
        <w:ind w:left="720" w:hanging="720"/>
        <w:rPr>
          <w:rFonts w:cs="Arial"/>
          <w:noProof/>
          <w:sz w:val="24"/>
        </w:rPr>
      </w:pPr>
      <w:bookmarkStart w:id="85" w:name="_ENREF_63"/>
      <w:r w:rsidRPr="00377277">
        <w:rPr>
          <w:rFonts w:cs="Arial"/>
          <w:noProof/>
          <w:sz w:val="24"/>
        </w:rPr>
        <w:t xml:space="preserve">UNICEF. (2017). </w:t>
      </w:r>
      <w:r w:rsidRPr="00377277">
        <w:rPr>
          <w:rFonts w:cs="Arial"/>
          <w:i/>
          <w:noProof/>
          <w:sz w:val="24"/>
        </w:rPr>
        <w:t xml:space="preserve">Including children with disabilities in humanitarian action </w:t>
      </w:r>
      <w:r w:rsidRPr="00377277">
        <w:rPr>
          <w:rFonts w:cs="Arial"/>
          <w:noProof/>
          <w:sz w:val="24"/>
        </w:rPr>
        <w:t xml:space="preserve">  Retrieved from http://training.unicef.org/disability/emergencies/index.html </w:t>
      </w:r>
      <w:bookmarkEnd w:id="85"/>
    </w:p>
    <w:p w:rsidR="0084416B" w:rsidRPr="00377277" w:rsidRDefault="0084416B" w:rsidP="0084416B">
      <w:pPr>
        <w:pStyle w:val="EndnoteText"/>
        <w:ind w:left="720" w:hanging="720"/>
        <w:rPr>
          <w:rFonts w:cs="Arial"/>
          <w:noProof/>
          <w:sz w:val="24"/>
        </w:rPr>
      </w:pPr>
      <w:bookmarkStart w:id="86" w:name="_ENREF_64"/>
      <w:r w:rsidRPr="00377277">
        <w:rPr>
          <w:rFonts w:cs="Arial"/>
          <w:noProof/>
          <w:sz w:val="24"/>
        </w:rPr>
        <w:t>UNISDR. (2011). Disaster risk management for health: mental health and psychosocial support. Fact Sheets. Retrieved from https://www.unisdr.org/we/inform/publications/19982</w:t>
      </w:r>
      <w:bookmarkEnd w:id="86"/>
    </w:p>
    <w:p w:rsidR="0084416B" w:rsidRPr="00377277" w:rsidRDefault="0084416B" w:rsidP="0084416B">
      <w:pPr>
        <w:pStyle w:val="EndnoteText"/>
        <w:ind w:left="720" w:hanging="720"/>
        <w:rPr>
          <w:rFonts w:cs="Arial"/>
          <w:noProof/>
          <w:sz w:val="24"/>
        </w:rPr>
      </w:pPr>
      <w:bookmarkStart w:id="87" w:name="_ENREF_65"/>
      <w:r w:rsidRPr="00377277">
        <w:rPr>
          <w:rFonts w:cs="Arial"/>
          <w:noProof/>
          <w:sz w:val="24"/>
        </w:rPr>
        <w:t xml:space="preserve">UNISDR. (2012). Making Lebanon resilient: achieving disaster risk reduction in the Arab States - Good practice country brief. </w:t>
      </w:r>
      <w:bookmarkEnd w:id="87"/>
    </w:p>
    <w:p w:rsidR="0084416B" w:rsidRPr="00377277" w:rsidRDefault="0084416B" w:rsidP="0084416B">
      <w:pPr>
        <w:pStyle w:val="EndnoteText"/>
        <w:ind w:left="720" w:hanging="720"/>
        <w:rPr>
          <w:rFonts w:cs="Arial"/>
          <w:noProof/>
          <w:sz w:val="24"/>
        </w:rPr>
      </w:pPr>
      <w:bookmarkStart w:id="88" w:name="_ENREF_66"/>
      <w:r w:rsidRPr="00377277">
        <w:rPr>
          <w:rFonts w:cs="Arial"/>
          <w:noProof/>
          <w:sz w:val="24"/>
        </w:rPr>
        <w:lastRenderedPageBreak/>
        <w:t xml:space="preserve">UNISDR. (2013). </w:t>
      </w:r>
      <w:r w:rsidRPr="00377277">
        <w:rPr>
          <w:rFonts w:cs="Arial"/>
          <w:i/>
          <w:noProof/>
          <w:sz w:val="24"/>
        </w:rPr>
        <w:t>UN global survey explains why so many people living with disabilities die in disasters</w:t>
      </w:r>
      <w:r w:rsidRPr="00377277">
        <w:rPr>
          <w:rFonts w:cs="Arial"/>
          <w:noProof/>
          <w:sz w:val="24"/>
        </w:rPr>
        <w:t>. Retrieved from http://www.unisdr.org/archive/35032</w:t>
      </w:r>
      <w:bookmarkEnd w:id="88"/>
    </w:p>
    <w:p w:rsidR="0084416B" w:rsidRPr="00377277" w:rsidRDefault="0084416B" w:rsidP="0084416B">
      <w:pPr>
        <w:pStyle w:val="EndnoteText"/>
        <w:ind w:left="720" w:hanging="720"/>
        <w:rPr>
          <w:rFonts w:cs="Arial"/>
          <w:noProof/>
          <w:sz w:val="24"/>
        </w:rPr>
      </w:pPr>
      <w:bookmarkStart w:id="89" w:name="_ENREF_67"/>
      <w:r w:rsidRPr="00377277">
        <w:rPr>
          <w:rFonts w:cs="Arial"/>
          <w:noProof/>
          <w:sz w:val="24"/>
        </w:rPr>
        <w:t xml:space="preserve">United Nations. (2013). </w:t>
      </w:r>
      <w:r w:rsidRPr="00377277">
        <w:rPr>
          <w:rFonts w:cs="Arial"/>
          <w:i/>
          <w:noProof/>
          <w:sz w:val="24"/>
        </w:rPr>
        <w:t>Syria Regional Response Plan</w:t>
      </w:r>
      <w:r w:rsidRPr="00377277">
        <w:rPr>
          <w:rFonts w:cs="Arial"/>
          <w:noProof/>
          <w:sz w:val="24"/>
        </w:rPr>
        <w:t>. Retrieved from https://data.unhcr.org/syrianrefugees/download.php?id=2148</w:t>
      </w:r>
      <w:bookmarkEnd w:id="89"/>
    </w:p>
    <w:p w:rsidR="0084416B" w:rsidRPr="00377277" w:rsidRDefault="0084416B" w:rsidP="0084416B">
      <w:pPr>
        <w:pStyle w:val="EndnoteText"/>
        <w:ind w:left="720" w:hanging="720"/>
        <w:rPr>
          <w:rFonts w:cs="Arial"/>
          <w:noProof/>
          <w:sz w:val="24"/>
        </w:rPr>
      </w:pPr>
      <w:bookmarkStart w:id="90" w:name="_ENREF_68"/>
      <w:r w:rsidRPr="00377277">
        <w:rPr>
          <w:rFonts w:cs="Arial"/>
          <w:noProof/>
          <w:sz w:val="24"/>
        </w:rPr>
        <w:t xml:space="preserve">United Nations University. (2014). </w:t>
      </w:r>
      <w:r w:rsidRPr="00377277">
        <w:rPr>
          <w:rFonts w:cs="Arial"/>
          <w:i/>
          <w:noProof/>
          <w:sz w:val="24"/>
        </w:rPr>
        <w:t xml:space="preserve">United Nations Expert Group Meeting on Mental Well-being, Disability and Disaster Risk Reduction. </w:t>
      </w:r>
      <w:r w:rsidRPr="00377277">
        <w:rPr>
          <w:rFonts w:cs="Arial"/>
          <w:noProof/>
          <w:sz w:val="24"/>
        </w:rPr>
        <w:t>. Tokyo, Japan: United Nations University Headquarters. Retrieved from https://i.unu.edu/media/ias.unu.edu-en/news/7408/EGM-MWDDRR-2014-Report.pdf</w:t>
      </w:r>
      <w:bookmarkEnd w:id="90"/>
    </w:p>
    <w:p w:rsidR="0084416B" w:rsidRPr="00377277" w:rsidRDefault="0084416B" w:rsidP="0084416B">
      <w:pPr>
        <w:pStyle w:val="EndnoteText"/>
        <w:ind w:left="720" w:hanging="720"/>
        <w:rPr>
          <w:rFonts w:cs="Arial"/>
          <w:noProof/>
          <w:sz w:val="24"/>
        </w:rPr>
      </w:pPr>
      <w:bookmarkStart w:id="91" w:name="_ENREF_69"/>
      <w:r w:rsidRPr="00377277">
        <w:rPr>
          <w:rFonts w:cs="Arial"/>
          <w:noProof/>
          <w:sz w:val="24"/>
        </w:rPr>
        <w:t xml:space="preserve">UNRWA. (2017). </w:t>
      </w:r>
      <w:r w:rsidRPr="00377277">
        <w:rPr>
          <w:rFonts w:cs="Arial"/>
          <w:i/>
          <w:noProof/>
          <w:sz w:val="24"/>
        </w:rPr>
        <w:t>Disability Inclusion Guidelines</w:t>
      </w:r>
      <w:r w:rsidRPr="00377277">
        <w:rPr>
          <w:rFonts w:cs="Arial"/>
          <w:noProof/>
          <w:sz w:val="24"/>
        </w:rPr>
        <w:t>. Retrieved from https://www.unrwa.org/sites/default/files/content/resources/disability_inclusion_guidelines.pdf</w:t>
      </w:r>
      <w:bookmarkEnd w:id="91"/>
    </w:p>
    <w:p w:rsidR="0084416B" w:rsidRPr="00377277" w:rsidRDefault="0084416B" w:rsidP="0084416B">
      <w:pPr>
        <w:pStyle w:val="EndnoteText"/>
        <w:ind w:left="720" w:hanging="720"/>
        <w:rPr>
          <w:rFonts w:cs="Arial"/>
          <w:noProof/>
          <w:sz w:val="24"/>
        </w:rPr>
      </w:pPr>
      <w:bookmarkStart w:id="92" w:name="_ENREF_70"/>
      <w:r w:rsidRPr="00377277">
        <w:rPr>
          <w:rFonts w:cs="Arial"/>
          <w:noProof/>
          <w:sz w:val="24"/>
        </w:rPr>
        <w:t xml:space="preserve">Van Ommeren, M. (2014). </w:t>
      </w:r>
      <w:r w:rsidRPr="00377277">
        <w:rPr>
          <w:rFonts w:cs="Arial"/>
          <w:i/>
          <w:noProof/>
          <w:sz w:val="24"/>
        </w:rPr>
        <w:t xml:space="preserve">WHO perspective on mental health and psychosocial wellbeing in Emergency Settings: Mainstreaming mental health into DRR. </w:t>
      </w:r>
      <w:r w:rsidRPr="00377277">
        <w:rPr>
          <w:rFonts w:cs="Arial"/>
          <w:noProof/>
          <w:sz w:val="24"/>
        </w:rPr>
        <w:t>. Tokyo: Expert Group Meeting on Mental Well-being, Disability and Disaster Risk Reduction. Retrieved from https://www.youtube.com/watch?v=LKGbw3vsnOw&amp;list=PL8QnLThpVNcWJ7aDc9pJRFCdqP8TUHGsq&amp;index=3</w:t>
      </w:r>
      <w:bookmarkEnd w:id="92"/>
    </w:p>
    <w:p w:rsidR="0084416B" w:rsidRPr="00377277" w:rsidRDefault="0084416B" w:rsidP="0084416B">
      <w:pPr>
        <w:pStyle w:val="EndnoteText"/>
        <w:ind w:left="720" w:hanging="720"/>
        <w:rPr>
          <w:rFonts w:cs="Arial"/>
          <w:noProof/>
          <w:sz w:val="24"/>
        </w:rPr>
      </w:pPr>
      <w:bookmarkStart w:id="93" w:name="_ENREF_71"/>
      <w:r w:rsidRPr="00377277">
        <w:rPr>
          <w:rFonts w:cs="Arial"/>
          <w:noProof/>
          <w:sz w:val="24"/>
        </w:rPr>
        <w:t xml:space="preserve">Wehbi, S. (2011). Crossing boundaries: Foreign funding and disability rights activism in a context of war. </w:t>
      </w:r>
      <w:r w:rsidRPr="00377277">
        <w:rPr>
          <w:rFonts w:cs="Arial"/>
          <w:i/>
          <w:noProof/>
          <w:sz w:val="24"/>
        </w:rPr>
        <w:t>Disability &amp; Society, 26</w:t>
      </w:r>
      <w:r w:rsidRPr="00377277">
        <w:rPr>
          <w:rFonts w:cs="Arial"/>
          <w:noProof/>
          <w:sz w:val="24"/>
        </w:rPr>
        <w:t xml:space="preserve">(5), 507-520. </w:t>
      </w:r>
      <w:bookmarkEnd w:id="93"/>
    </w:p>
    <w:p w:rsidR="0084416B" w:rsidRPr="00377277" w:rsidRDefault="0084416B" w:rsidP="0084416B">
      <w:pPr>
        <w:pStyle w:val="EndnoteText"/>
        <w:ind w:left="720" w:hanging="720"/>
        <w:rPr>
          <w:rFonts w:cs="Arial"/>
          <w:noProof/>
          <w:sz w:val="24"/>
        </w:rPr>
      </w:pPr>
      <w:bookmarkStart w:id="94" w:name="_ENREF_72"/>
      <w:r w:rsidRPr="00377277">
        <w:rPr>
          <w:rFonts w:cs="Arial"/>
          <w:noProof/>
          <w:sz w:val="24"/>
        </w:rPr>
        <w:t xml:space="preserve">Wessells, M., &amp; van Ommeren, M. (2008). Developing inter-agency guidelines on mental health and psychosocial support in emergency settings. </w:t>
      </w:r>
      <w:r w:rsidRPr="00377277">
        <w:rPr>
          <w:rFonts w:cs="Arial"/>
          <w:i/>
          <w:noProof/>
          <w:sz w:val="24"/>
        </w:rPr>
        <w:t>Intervention, 6</w:t>
      </w:r>
      <w:r w:rsidRPr="00377277">
        <w:rPr>
          <w:rFonts w:cs="Arial"/>
          <w:noProof/>
          <w:sz w:val="24"/>
        </w:rPr>
        <w:t xml:space="preserve">(3), 199-218. </w:t>
      </w:r>
      <w:bookmarkEnd w:id="94"/>
    </w:p>
    <w:p w:rsidR="0084416B" w:rsidRPr="00377277" w:rsidRDefault="0084416B" w:rsidP="0084416B">
      <w:pPr>
        <w:pStyle w:val="EndnoteText"/>
        <w:ind w:left="720" w:hanging="720"/>
        <w:rPr>
          <w:rFonts w:cs="Arial"/>
          <w:noProof/>
          <w:sz w:val="24"/>
        </w:rPr>
      </w:pPr>
      <w:bookmarkStart w:id="95" w:name="_ENREF_73"/>
      <w:r w:rsidRPr="00377277">
        <w:rPr>
          <w:rFonts w:cs="Arial"/>
          <w:noProof/>
          <w:sz w:val="24"/>
        </w:rPr>
        <w:t xml:space="preserve">WHO. (2011a). Disaster Risk Management for Health MENTAL HEALTH AND PSYCHOSOCIAL SUPPORT. </w:t>
      </w:r>
      <w:bookmarkEnd w:id="95"/>
    </w:p>
    <w:p w:rsidR="0084416B" w:rsidRPr="00377277" w:rsidRDefault="0084416B" w:rsidP="0084416B">
      <w:pPr>
        <w:pStyle w:val="EndnoteText"/>
        <w:ind w:left="720" w:hanging="720"/>
        <w:rPr>
          <w:rFonts w:cs="Arial"/>
          <w:noProof/>
          <w:sz w:val="24"/>
        </w:rPr>
      </w:pPr>
      <w:bookmarkStart w:id="96" w:name="_ENREF_74"/>
      <w:r w:rsidRPr="00377277">
        <w:rPr>
          <w:rFonts w:cs="Arial"/>
          <w:noProof/>
          <w:sz w:val="24"/>
        </w:rPr>
        <w:t xml:space="preserve">WHO. (2011b). Disaster Risk Management for Health PEOPLE WITH DISABILITIES AND OLDER PEOPLE. </w:t>
      </w:r>
      <w:bookmarkEnd w:id="96"/>
    </w:p>
    <w:p w:rsidR="0084416B" w:rsidRPr="00377277" w:rsidRDefault="0084416B" w:rsidP="0084416B">
      <w:pPr>
        <w:pStyle w:val="EndnoteText"/>
        <w:ind w:left="720" w:hanging="720"/>
        <w:rPr>
          <w:rFonts w:cs="Arial"/>
          <w:noProof/>
          <w:sz w:val="24"/>
        </w:rPr>
      </w:pPr>
      <w:bookmarkStart w:id="97" w:name="_ENREF_75"/>
      <w:r w:rsidRPr="00377277">
        <w:rPr>
          <w:rFonts w:cs="Arial"/>
          <w:noProof/>
          <w:sz w:val="24"/>
        </w:rPr>
        <w:t xml:space="preserve">WHO. (2013). </w:t>
      </w:r>
      <w:r w:rsidRPr="00377277">
        <w:rPr>
          <w:rFonts w:cs="Arial"/>
          <w:i/>
          <w:noProof/>
          <w:sz w:val="24"/>
        </w:rPr>
        <w:t>Building back better: sustainable mental health care after emergencies</w:t>
      </w:r>
      <w:r w:rsidRPr="00377277">
        <w:rPr>
          <w:rFonts w:cs="Arial"/>
          <w:noProof/>
          <w:sz w:val="24"/>
        </w:rPr>
        <w:t>: World Health Organization.</w:t>
      </w:r>
      <w:bookmarkEnd w:id="97"/>
    </w:p>
    <w:p w:rsidR="0084416B" w:rsidRPr="00377277" w:rsidRDefault="0084416B" w:rsidP="0084416B">
      <w:pPr>
        <w:pStyle w:val="EndnoteText"/>
        <w:ind w:left="720" w:hanging="720"/>
        <w:rPr>
          <w:rFonts w:cs="Arial"/>
          <w:noProof/>
          <w:sz w:val="24"/>
        </w:rPr>
      </w:pPr>
      <w:bookmarkStart w:id="98" w:name="_ENREF_76"/>
      <w:r w:rsidRPr="00377277">
        <w:rPr>
          <w:rFonts w:cs="Arial"/>
          <w:noProof/>
          <w:sz w:val="24"/>
        </w:rPr>
        <w:t xml:space="preserve">WHO IASC. (2007). </w:t>
      </w:r>
      <w:r w:rsidRPr="00377277">
        <w:rPr>
          <w:rFonts w:cs="Arial"/>
          <w:i/>
          <w:noProof/>
          <w:sz w:val="24"/>
        </w:rPr>
        <w:t>IASC guidelines on mental health and psychosocial support in emergency settings</w:t>
      </w:r>
      <w:r w:rsidRPr="00377277">
        <w:rPr>
          <w:rFonts w:cs="Arial"/>
          <w:noProof/>
          <w:sz w:val="24"/>
        </w:rPr>
        <w:t>: Inter-Agency Standing Committee.</w:t>
      </w:r>
      <w:bookmarkEnd w:id="98"/>
    </w:p>
    <w:p w:rsidR="0084416B" w:rsidRPr="00377277" w:rsidRDefault="0084416B" w:rsidP="0084416B">
      <w:pPr>
        <w:pStyle w:val="EndnoteText"/>
        <w:ind w:left="720" w:hanging="720"/>
        <w:rPr>
          <w:rFonts w:cs="Arial"/>
          <w:noProof/>
          <w:sz w:val="24"/>
        </w:rPr>
      </w:pPr>
      <w:bookmarkStart w:id="99" w:name="_ENREF_77"/>
      <w:r w:rsidRPr="00377277">
        <w:rPr>
          <w:rFonts w:cs="Arial"/>
          <w:noProof/>
          <w:sz w:val="24"/>
        </w:rPr>
        <w:t xml:space="preserve">Women’s Refugee Commission. (2013). </w:t>
      </w:r>
      <w:r w:rsidRPr="00377277">
        <w:rPr>
          <w:rFonts w:cs="Arial"/>
          <w:i/>
          <w:noProof/>
          <w:sz w:val="24"/>
        </w:rPr>
        <w:t xml:space="preserve">Disability inclusion in the Syrian refugee response in Lebanon </w:t>
      </w:r>
      <w:r w:rsidRPr="00377277">
        <w:rPr>
          <w:rFonts w:cs="Arial"/>
          <w:noProof/>
          <w:sz w:val="24"/>
        </w:rPr>
        <w:t xml:space="preserve">Retrieved from https://reliefweb.int/sites/reliefweb.int/files/resources/Disability_Inclusion_in_the_Syrian_Refugee_Response_in_Lebanon.pdf </w:t>
      </w:r>
      <w:bookmarkEnd w:id="99"/>
    </w:p>
    <w:p w:rsidR="0084416B" w:rsidRPr="00377277" w:rsidRDefault="0084416B" w:rsidP="0084416B">
      <w:pPr>
        <w:pStyle w:val="EndnoteText"/>
        <w:ind w:left="720" w:hanging="720"/>
        <w:rPr>
          <w:rFonts w:cs="Arial"/>
          <w:noProof/>
          <w:sz w:val="24"/>
        </w:rPr>
      </w:pPr>
      <w:bookmarkStart w:id="100" w:name="_ENREF_78"/>
      <w:r w:rsidRPr="00377277">
        <w:rPr>
          <w:rFonts w:cs="Arial"/>
          <w:noProof/>
          <w:sz w:val="24"/>
        </w:rPr>
        <w:t xml:space="preserve">World Bank. (2016). </w:t>
      </w:r>
      <w:r w:rsidRPr="00377277">
        <w:rPr>
          <w:rFonts w:cs="Arial"/>
          <w:i/>
          <w:noProof/>
          <w:sz w:val="24"/>
        </w:rPr>
        <w:t>West Bank and Gaza. Disability in the Palestinian Territories. Assessing Situation and Services for People With Disabilities (PWD)</w:t>
      </w:r>
      <w:r w:rsidRPr="00377277">
        <w:rPr>
          <w:rFonts w:cs="Arial"/>
          <w:noProof/>
          <w:sz w:val="24"/>
        </w:rPr>
        <w:t>. Retrieved from http://documents.worldbank.org/curated/en/501421472239948627/pdf/WBG-Disability-Study-Final-DRAFT-for-Transmission-Oct-31.pdf</w:t>
      </w:r>
      <w:bookmarkEnd w:id="100"/>
    </w:p>
    <w:p w:rsidR="0084416B" w:rsidRPr="00377277" w:rsidRDefault="0084416B" w:rsidP="0084416B">
      <w:pPr>
        <w:pStyle w:val="EndnoteText"/>
        <w:ind w:left="720" w:hanging="720"/>
        <w:rPr>
          <w:rFonts w:cs="Arial"/>
          <w:noProof/>
          <w:sz w:val="24"/>
        </w:rPr>
      </w:pPr>
      <w:bookmarkStart w:id="101" w:name="_ENREF_79"/>
      <w:r w:rsidRPr="00377277">
        <w:rPr>
          <w:rFonts w:cs="Arial"/>
          <w:noProof/>
          <w:sz w:val="24"/>
        </w:rPr>
        <w:t xml:space="preserve">World Health Organization. (2001). </w:t>
      </w:r>
      <w:r w:rsidRPr="00377277">
        <w:rPr>
          <w:rFonts w:cs="Arial"/>
          <w:i/>
          <w:noProof/>
          <w:sz w:val="24"/>
        </w:rPr>
        <w:t>The World Health Report 2001: Mental health: new understanding, new hope</w:t>
      </w:r>
      <w:r w:rsidRPr="00377277">
        <w:rPr>
          <w:rFonts w:cs="Arial"/>
          <w:noProof/>
          <w:sz w:val="24"/>
        </w:rPr>
        <w:t>: World Health Organization.</w:t>
      </w:r>
      <w:bookmarkEnd w:id="101"/>
    </w:p>
    <w:p w:rsidR="0084416B" w:rsidRPr="00377277" w:rsidRDefault="0084416B" w:rsidP="0084416B">
      <w:pPr>
        <w:pStyle w:val="EndnoteText"/>
        <w:ind w:left="720" w:hanging="720"/>
        <w:rPr>
          <w:rFonts w:cs="Arial"/>
          <w:noProof/>
          <w:sz w:val="24"/>
        </w:rPr>
      </w:pPr>
      <w:bookmarkStart w:id="102" w:name="_ENREF_80"/>
      <w:r w:rsidRPr="00377277">
        <w:rPr>
          <w:rFonts w:cs="Arial"/>
          <w:noProof/>
          <w:sz w:val="24"/>
        </w:rPr>
        <w:t>World Health Organization. (2007). Atlas: Global resources for persons with intellectual disabilities (Atlas-ID): WHO Geneva.</w:t>
      </w:r>
      <w:bookmarkEnd w:id="102"/>
    </w:p>
    <w:p w:rsidR="0084416B" w:rsidRPr="00377277" w:rsidRDefault="0084416B" w:rsidP="0084416B">
      <w:pPr>
        <w:pStyle w:val="EndnoteText"/>
        <w:ind w:left="720" w:hanging="720"/>
        <w:rPr>
          <w:rFonts w:cs="Arial"/>
          <w:noProof/>
          <w:sz w:val="24"/>
        </w:rPr>
      </w:pPr>
      <w:bookmarkStart w:id="103" w:name="_ENREF_81"/>
      <w:r w:rsidRPr="00377277">
        <w:rPr>
          <w:rFonts w:cs="Arial"/>
          <w:noProof/>
          <w:sz w:val="24"/>
        </w:rPr>
        <w:t>World Health Organization. (2015). Mental health: strengthening our response 2010.</w:t>
      </w:r>
      <w:bookmarkEnd w:id="103"/>
    </w:p>
    <w:p w:rsidR="0084416B" w:rsidRPr="00377277" w:rsidRDefault="0084416B" w:rsidP="0084416B">
      <w:pPr>
        <w:pStyle w:val="EndnoteText"/>
        <w:ind w:left="720" w:hanging="720"/>
        <w:rPr>
          <w:rFonts w:cs="Arial"/>
          <w:noProof/>
          <w:sz w:val="24"/>
        </w:rPr>
      </w:pPr>
      <w:bookmarkStart w:id="104" w:name="_ENREF_82"/>
      <w:r w:rsidRPr="00377277">
        <w:rPr>
          <w:rFonts w:cs="Arial"/>
          <w:noProof/>
          <w:sz w:val="24"/>
        </w:rPr>
        <w:t xml:space="preserve">World Humanitarian Summit. (2016). Charter on Inclusion of Persons with Disabilities in Humanitarian Action. </w:t>
      </w:r>
      <w:bookmarkEnd w:id="104"/>
    </w:p>
    <w:p w:rsidR="0084416B" w:rsidRPr="00377277" w:rsidRDefault="0084416B" w:rsidP="0084416B">
      <w:pPr>
        <w:pStyle w:val="EndnoteText"/>
      </w:pPr>
    </w:p>
    <w:p w:rsidR="0084416B" w:rsidRPr="00377277" w:rsidRDefault="0084416B" w:rsidP="0084416B"/>
    <w:sectPr w:rsidR="0084416B" w:rsidRPr="0037727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F35" w:rsidRDefault="007A3F35" w:rsidP="00B617CB">
      <w:r>
        <w:separator/>
      </w:r>
    </w:p>
  </w:endnote>
  <w:endnote w:type="continuationSeparator" w:id="0">
    <w:p w:rsidR="007A3F35" w:rsidRDefault="007A3F35" w:rsidP="00B6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172726"/>
      <w:docPartObj>
        <w:docPartGallery w:val="Page Numbers (Bottom of Page)"/>
        <w:docPartUnique/>
      </w:docPartObj>
    </w:sdtPr>
    <w:sdtEndPr>
      <w:rPr>
        <w:noProof/>
      </w:rPr>
    </w:sdtEndPr>
    <w:sdtContent>
      <w:p w:rsidR="00CB1C31" w:rsidRDefault="00CB1C31">
        <w:pPr>
          <w:pStyle w:val="Footer"/>
          <w:jc w:val="center"/>
        </w:pPr>
        <w:r>
          <w:fldChar w:fldCharType="begin"/>
        </w:r>
        <w:r>
          <w:instrText xml:space="preserve"> PAGE   \* MERGEFORMAT </w:instrText>
        </w:r>
        <w:r>
          <w:fldChar w:fldCharType="separate"/>
        </w:r>
        <w:r w:rsidR="004842C9">
          <w:rPr>
            <w:noProof/>
          </w:rPr>
          <w:t>34</w:t>
        </w:r>
        <w:r>
          <w:rPr>
            <w:noProof/>
          </w:rPr>
          <w:fldChar w:fldCharType="end"/>
        </w:r>
      </w:p>
    </w:sdtContent>
  </w:sdt>
  <w:p w:rsidR="00CB1C31" w:rsidRDefault="00CB1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F35" w:rsidRDefault="007A3F35" w:rsidP="00B617CB">
      <w:r>
        <w:separator/>
      </w:r>
    </w:p>
  </w:footnote>
  <w:footnote w:type="continuationSeparator" w:id="0">
    <w:p w:rsidR="007A3F35" w:rsidRDefault="007A3F35" w:rsidP="00B617CB">
      <w:r>
        <w:continuationSeparator/>
      </w:r>
    </w:p>
  </w:footnote>
  <w:footnote w:id="1">
    <w:p w:rsidR="00CB1C31" w:rsidRPr="00D82A0C" w:rsidRDefault="00CB1C31" w:rsidP="003665E6">
      <w:pPr>
        <w:pStyle w:val="FootnoteText"/>
        <w:rPr>
          <w:lang w:val="en-US"/>
        </w:rPr>
      </w:pPr>
      <w:r>
        <w:rPr>
          <w:rStyle w:val="FootnoteReference"/>
        </w:rPr>
        <w:footnoteRef/>
      </w:r>
      <w:r>
        <w:t xml:space="preserve"> </w:t>
      </w:r>
      <w:r>
        <w:rPr>
          <w:noProof/>
        </w:rPr>
        <w:t>INEE, 2010</w:t>
      </w:r>
    </w:p>
  </w:footnote>
  <w:footnote w:id="2">
    <w:p w:rsidR="00CB1C31" w:rsidRPr="00D82A0C" w:rsidRDefault="00CB1C31" w:rsidP="003665E6">
      <w:pPr>
        <w:pStyle w:val="FootnoteText"/>
        <w:rPr>
          <w:lang w:val="en-US"/>
        </w:rPr>
      </w:pPr>
      <w:r>
        <w:rPr>
          <w:rStyle w:val="FootnoteReference"/>
        </w:rPr>
        <w:footnoteRef/>
      </w:r>
      <w:r>
        <w:t xml:space="preserve"> </w:t>
      </w:r>
      <w:r>
        <w:rPr>
          <w:noProof/>
        </w:rPr>
        <w:t>UN, 2007</w:t>
      </w:r>
    </w:p>
  </w:footnote>
  <w:footnote w:id="3">
    <w:p w:rsidR="00CB1C31" w:rsidRPr="00D82A0C" w:rsidRDefault="00CB1C31" w:rsidP="003665E6">
      <w:pPr>
        <w:pStyle w:val="FootnoteText"/>
        <w:rPr>
          <w:lang w:val="en-US"/>
        </w:rPr>
      </w:pPr>
      <w:r>
        <w:rPr>
          <w:rStyle w:val="FootnoteReference"/>
        </w:rPr>
        <w:footnoteRef/>
      </w:r>
      <w:r>
        <w:t xml:space="preserve"> </w:t>
      </w:r>
      <w:r>
        <w:rPr>
          <w:noProof/>
        </w:rPr>
        <w:t>UN General Assembly, 2015; World Humanitarian Summit, 2016</w:t>
      </w:r>
    </w:p>
  </w:footnote>
  <w:footnote w:id="4">
    <w:p w:rsidR="00CB1C31" w:rsidRPr="00D82A0C" w:rsidRDefault="00CB1C31" w:rsidP="003665E6">
      <w:pPr>
        <w:pStyle w:val="FootnoteText"/>
        <w:rPr>
          <w:lang w:val="en-US"/>
        </w:rPr>
      </w:pPr>
      <w:r>
        <w:rPr>
          <w:rStyle w:val="FootnoteReference"/>
        </w:rPr>
        <w:footnoteRef/>
      </w:r>
      <w:r>
        <w:t xml:space="preserve"> </w:t>
      </w:r>
      <w:r>
        <w:rPr>
          <w:noProof/>
        </w:rPr>
        <w:t>World Humanitarian Summit, 2016</w:t>
      </w:r>
      <w:r>
        <w:t>;</w:t>
      </w:r>
      <w:r w:rsidRPr="00D82A0C">
        <w:t xml:space="preserve"> </w:t>
      </w:r>
      <w:r>
        <w:rPr>
          <w:noProof/>
        </w:rPr>
        <w:t>Red Cross and Red Crescent, 2011</w:t>
      </w:r>
      <w:r>
        <w:t xml:space="preserve"> </w:t>
      </w:r>
    </w:p>
  </w:footnote>
  <w:footnote w:id="5">
    <w:p w:rsidR="00CB1C31" w:rsidRDefault="00CB1C31" w:rsidP="003665E6">
      <w:pPr>
        <w:pStyle w:val="FootnoteText"/>
      </w:pPr>
      <w:r>
        <w:rPr>
          <w:rStyle w:val="FootnoteReference"/>
        </w:rPr>
        <w:footnoteRef/>
      </w:r>
      <w:r>
        <w:t xml:space="preserve"> </w:t>
      </w:r>
      <w:r>
        <w:rPr>
          <w:noProof/>
        </w:rPr>
        <w:t>World Health Organization, 2001, p. 5</w:t>
      </w:r>
    </w:p>
  </w:footnote>
  <w:footnote w:id="6">
    <w:p w:rsidR="00CB1C31" w:rsidRDefault="00CB1C31">
      <w:pPr>
        <w:pStyle w:val="FootnoteText"/>
      </w:pPr>
      <w:r>
        <w:rPr>
          <w:rStyle w:val="FootnoteReference"/>
        </w:rPr>
        <w:footnoteRef/>
      </w:r>
      <w:r>
        <w:t xml:space="preserve"> </w:t>
      </w:r>
      <w:hyperlink w:anchor="_ENREF_78" w:tooltip="World Health Organization, 2015 #13" w:history="1">
        <w:r>
          <w:rPr>
            <w:noProof/>
          </w:rPr>
          <w:t>World Health Organization, 2015</w:t>
        </w:r>
      </w:hyperlink>
    </w:p>
  </w:footnote>
  <w:footnote w:id="7">
    <w:p w:rsidR="00CB1C31" w:rsidRDefault="00CB1C31">
      <w:pPr>
        <w:pStyle w:val="FootnoteText"/>
      </w:pPr>
      <w:r>
        <w:rPr>
          <w:rStyle w:val="FootnoteReference"/>
        </w:rPr>
        <w:footnoteRef/>
      </w:r>
      <w:r>
        <w:t xml:space="preserve"> </w:t>
      </w:r>
      <w:hyperlink w:anchor="_ENREF_11" w:tooltip="Carulla, 2011 #14" w:history="1">
        <w:r>
          <w:rPr>
            <w:noProof/>
            <w:shd w:val="clear" w:color="auto" w:fill="FFFFFF"/>
          </w:rPr>
          <w:t>Carulla et al., 2011, p.175</w:t>
        </w:r>
      </w:hyperlink>
    </w:p>
  </w:footnote>
  <w:footnote w:id="8">
    <w:p w:rsidR="00CB1C31" w:rsidRDefault="00CB1C31">
      <w:pPr>
        <w:pStyle w:val="FootnoteText"/>
      </w:pPr>
      <w:r>
        <w:rPr>
          <w:rStyle w:val="FootnoteReference"/>
        </w:rPr>
        <w:footnoteRef/>
      </w:r>
      <w:r>
        <w:t xml:space="preserve"> </w:t>
      </w:r>
      <w:hyperlink w:anchor="_ENREF_58" w:tooltip="Tol, 2011 #75" w:history="1">
        <w:r>
          <w:rPr>
            <w:noProof/>
            <w:lang w:val="en-US"/>
          </w:rPr>
          <w:t>Tol et al., 2011</w:t>
        </w:r>
      </w:hyperlink>
      <w:r>
        <w:rPr>
          <w:noProof/>
          <w:lang w:val="en-US"/>
        </w:rPr>
        <w:t xml:space="preserve">; </w:t>
      </w:r>
      <w:hyperlink w:anchor="_ENREF_73" w:tooltip="WHO, 2013 #63" w:history="1">
        <w:r>
          <w:rPr>
            <w:noProof/>
            <w:lang w:val="en-US"/>
          </w:rPr>
          <w:t>WHO, 2013</w:t>
        </w:r>
      </w:hyperlink>
    </w:p>
  </w:footnote>
  <w:footnote w:id="9">
    <w:p w:rsidR="00CB1C31" w:rsidRPr="00D82A0C" w:rsidRDefault="00CB1C31" w:rsidP="003665E6">
      <w:pPr>
        <w:pStyle w:val="FootnoteText"/>
        <w:rPr>
          <w:lang w:val="en-US"/>
        </w:rPr>
      </w:pPr>
      <w:r>
        <w:rPr>
          <w:rStyle w:val="FootnoteReference"/>
        </w:rPr>
        <w:footnoteRef/>
      </w:r>
      <w:r>
        <w:t xml:space="preserve"> </w:t>
      </w:r>
      <w:r>
        <w:rPr>
          <w:noProof/>
          <w:lang w:val="en-US"/>
        </w:rPr>
        <w:t>OCHA, 2017</w:t>
      </w:r>
    </w:p>
  </w:footnote>
  <w:footnote w:id="10">
    <w:p w:rsidR="00CB1C31" w:rsidRPr="00D82A0C" w:rsidRDefault="00CB1C31" w:rsidP="003665E6">
      <w:pPr>
        <w:pStyle w:val="FootnoteText"/>
        <w:rPr>
          <w:lang w:val="en-US"/>
        </w:rPr>
      </w:pPr>
      <w:r>
        <w:rPr>
          <w:rStyle w:val="FootnoteReference"/>
        </w:rPr>
        <w:footnoteRef/>
      </w:r>
      <w:r>
        <w:t xml:space="preserve"> </w:t>
      </w:r>
      <w:r>
        <w:rPr>
          <w:noProof/>
          <w:lang w:val="en-US"/>
        </w:rPr>
        <w:t>Thabet &amp; Thabet, 2016</w:t>
      </w:r>
    </w:p>
  </w:footnote>
  <w:footnote w:id="11">
    <w:p w:rsidR="00CB1C31" w:rsidRDefault="00CB1C31" w:rsidP="003665E6">
      <w:pPr>
        <w:pStyle w:val="FootnoteText"/>
      </w:pPr>
      <w:r>
        <w:rPr>
          <w:rStyle w:val="FootnoteReference"/>
        </w:rPr>
        <w:footnoteRef/>
      </w:r>
      <w:r>
        <w:t xml:space="preserve"> </w:t>
      </w:r>
      <w:r>
        <w:rPr>
          <w:noProof/>
          <w:lang w:val="en-US"/>
        </w:rPr>
        <w:t>Charara et al., 2017; Llosa et al., 2014; WHO, 2013</w:t>
      </w:r>
    </w:p>
  </w:footnote>
  <w:footnote w:id="12">
    <w:p w:rsidR="00CB1C31" w:rsidRDefault="00CB1C31">
      <w:pPr>
        <w:pStyle w:val="FootnoteText"/>
      </w:pPr>
      <w:r>
        <w:rPr>
          <w:rStyle w:val="FootnoteReference"/>
        </w:rPr>
        <w:footnoteRef/>
      </w:r>
      <w:r>
        <w:t xml:space="preserve"> </w:t>
      </w:r>
      <w:hyperlink w:anchor="_ENREF_38" w:tooltip="Mezan Centre for Human Rights, 2001 #77" w:history="1">
        <w:r>
          <w:rPr>
            <w:noProof/>
            <w:lang w:val="en-US"/>
          </w:rPr>
          <w:t>Mezan Centre for Human Rights</w:t>
        </w:r>
      </w:hyperlink>
      <w:r>
        <w:rPr>
          <w:noProof/>
          <w:lang w:val="en-US"/>
        </w:rPr>
        <w:t xml:space="preserve">; </w:t>
      </w:r>
      <w:hyperlink w:anchor="_ENREF_44" w:tooltip="Palestinian Refugee News Network In Lebanon, 2017 #66" w:history="1">
        <w:r>
          <w:rPr>
            <w:noProof/>
            <w:lang w:val="en-US"/>
          </w:rPr>
          <w:t>Palestinian Refugee News Network In Lebanon, 2017</w:t>
        </w:r>
      </w:hyperlink>
      <w:r>
        <w:rPr>
          <w:noProof/>
          <w:lang w:val="en-US"/>
        </w:rPr>
        <w:t xml:space="preserve">; </w:t>
      </w:r>
      <w:hyperlink w:anchor="_ENREF_63" w:tooltip="UNISDR, 2011 #59" w:history="1">
        <w:r>
          <w:rPr>
            <w:noProof/>
            <w:lang w:val="en-US"/>
          </w:rPr>
          <w:t>UNISDR, 2011</w:t>
        </w:r>
      </w:hyperlink>
      <w:r>
        <w:rPr>
          <w:noProof/>
          <w:lang w:val="en-US"/>
        </w:rPr>
        <w:t xml:space="preserve">; </w:t>
      </w:r>
      <w:hyperlink w:anchor="_ENREF_73" w:tooltip="WHO, 2013 #63" w:history="1">
        <w:r>
          <w:rPr>
            <w:noProof/>
            <w:lang w:val="en-US"/>
          </w:rPr>
          <w:t>WHO, 2013</w:t>
        </w:r>
      </w:hyperlink>
      <w:r>
        <w:rPr>
          <w:noProof/>
          <w:lang w:val="en-US"/>
        </w:rPr>
        <w:t xml:space="preserve">; </w:t>
      </w:r>
      <w:hyperlink w:anchor="_ENREF_75" w:tooltip="World Bank, 2016 #67" w:history="1">
        <w:r>
          <w:rPr>
            <w:noProof/>
            <w:lang w:val="en-US"/>
          </w:rPr>
          <w:t>World Bank, 2016</w:t>
        </w:r>
      </w:hyperlink>
    </w:p>
  </w:footnote>
  <w:footnote w:id="13">
    <w:p w:rsidR="00CB1C31" w:rsidRPr="00810309" w:rsidRDefault="00CB1C31" w:rsidP="003665E6">
      <w:pPr>
        <w:pStyle w:val="FootnoteText"/>
      </w:pPr>
      <w:r>
        <w:rPr>
          <w:rStyle w:val="FootnoteReference"/>
        </w:rPr>
        <w:footnoteRef/>
      </w:r>
      <w:r>
        <w:t xml:space="preserve"> </w:t>
      </w:r>
      <w:r>
        <w:rPr>
          <w:noProof/>
          <w:lang w:val="en-US"/>
        </w:rPr>
        <w:t>Office of High Commissioner for Human Rights, 2017</w:t>
      </w:r>
    </w:p>
  </w:footnote>
  <w:footnote w:id="14">
    <w:p w:rsidR="00CB1C31" w:rsidRDefault="00CB1C31">
      <w:pPr>
        <w:pStyle w:val="FootnoteText"/>
      </w:pPr>
      <w:r>
        <w:rPr>
          <w:rStyle w:val="FootnoteReference"/>
        </w:rPr>
        <w:footnoteRef/>
      </w:r>
      <w:r>
        <w:t xml:space="preserve"> </w:t>
      </w:r>
      <w:hyperlink w:anchor="_ENREF_3" w:tooltip="ARC,  #65" w:history="1">
        <w:r>
          <w:rPr>
            <w:noProof/>
            <w:lang w:val="en-US"/>
          </w:rPr>
          <w:t>ARC</w:t>
        </w:r>
      </w:hyperlink>
      <w:r>
        <w:rPr>
          <w:noProof/>
          <w:lang w:val="en-US"/>
        </w:rPr>
        <w:t xml:space="preserve">; </w:t>
      </w:r>
      <w:hyperlink w:anchor="_ENREF_32" w:tooltip="Klynman, 2007 #72" w:history="1">
        <w:r>
          <w:rPr>
            <w:noProof/>
            <w:lang w:val="en-US"/>
          </w:rPr>
          <w:t>Klynman et al., 2007</w:t>
        </w:r>
      </w:hyperlink>
      <w:r>
        <w:rPr>
          <w:noProof/>
          <w:lang w:val="en-US"/>
        </w:rPr>
        <w:t xml:space="preserve">; </w:t>
      </w:r>
      <w:hyperlink w:anchor="_ENREF_66" w:tooltip="United Nations University, 2014 #60" w:history="1">
        <w:r>
          <w:rPr>
            <w:noProof/>
            <w:lang w:val="en-US"/>
          </w:rPr>
          <w:t>United Nations University, 2014</w:t>
        </w:r>
      </w:hyperlink>
      <w:r>
        <w:rPr>
          <w:noProof/>
          <w:lang w:val="en-US"/>
        </w:rPr>
        <w:t xml:space="preserve">; </w:t>
      </w:r>
      <w:hyperlink w:anchor="_ENREF_73" w:tooltip="WHO, 2013 #63" w:history="1">
        <w:r>
          <w:rPr>
            <w:noProof/>
            <w:lang w:val="en-US"/>
          </w:rPr>
          <w:t>WHO, 2013</w:t>
        </w:r>
      </w:hyperlink>
    </w:p>
  </w:footnote>
  <w:footnote w:id="15">
    <w:p w:rsidR="00CB1C31" w:rsidRPr="00810309" w:rsidRDefault="00CB1C31" w:rsidP="003665E6">
      <w:pPr>
        <w:pStyle w:val="FootnoteText"/>
      </w:pPr>
      <w:r>
        <w:rPr>
          <w:rStyle w:val="FootnoteReference"/>
        </w:rPr>
        <w:footnoteRef/>
      </w:r>
      <w:r>
        <w:t xml:space="preserve"> </w:t>
      </w:r>
      <w:r>
        <w:rPr>
          <w:rStyle w:val="None"/>
          <w:noProof/>
          <w:lang w:val="en-US"/>
        </w:rPr>
        <w:t>Llosa et al., 2014</w:t>
      </w:r>
    </w:p>
  </w:footnote>
  <w:footnote w:id="16">
    <w:p w:rsidR="00CB1C31" w:rsidRPr="00810309" w:rsidRDefault="00CB1C31" w:rsidP="003665E6">
      <w:pPr>
        <w:pStyle w:val="FootnoteText"/>
      </w:pPr>
      <w:r>
        <w:rPr>
          <w:rStyle w:val="FootnoteReference"/>
        </w:rPr>
        <w:footnoteRef/>
      </w:r>
      <w:r>
        <w:t xml:space="preserve"> </w:t>
      </w:r>
      <w:r>
        <w:rPr>
          <w:rStyle w:val="None"/>
          <w:noProof/>
          <w:lang w:val="en-US"/>
        </w:rPr>
        <w:t>Marie et al., 2016; Twigg, 2015</w:t>
      </w:r>
    </w:p>
  </w:footnote>
  <w:footnote w:id="17">
    <w:p w:rsidR="00CB1C31" w:rsidRDefault="00CB1C31" w:rsidP="003665E6">
      <w:pPr>
        <w:pStyle w:val="FootnoteText"/>
      </w:pPr>
      <w:r>
        <w:rPr>
          <w:rStyle w:val="FootnoteReference"/>
        </w:rPr>
        <w:footnoteRef/>
      </w:r>
      <w:r>
        <w:t xml:space="preserve"> </w:t>
      </w:r>
      <w:hyperlink w:anchor="_ENREF_26" w:tooltip="Herr, 2003 #56" w:history="1">
        <w:r>
          <w:rPr>
            <w:noProof/>
            <w:lang w:val="en-US"/>
          </w:rPr>
          <w:t>Herr, Gostin, Koh, &amp; Gostin, 2003</w:t>
        </w:r>
      </w:hyperlink>
      <w:r>
        <w:rPr>
          <w:noProof/>
          <w:lang w:val="en-US"/>
        </w:rPr>
        <w:t xml:space="preserve">; </w:t>
      </w:r>
      <w:hyperlink w:anchor="_ENREF_40" w:tooltip="Mitchell, 2014 #32" w:history="1">
        <w:r>
          <w:rPr>
            <w:noProof/>
            <w:lang w:val="en-US"/>
          </w:rPr>
          <w:t>Mitchell, 2014</w:t>
        </w:r>
      </w:hyperlink>
      <w:r>
        <w:rPr>
          <w:noProof/>
          <w:lang w:val="en-US"/>
        </w:rPr>
        <w:t xml:space="preserve">; </w:t>
      </w:r>
      <w:hyperlink w:anchor="_ENREF_42" w:tooltip="Office of High Commissioner for Human Rights, 2017 #79" w:history="1">
        <w:r>
          <w:rPr>
            <w:noProof/>
            <w:lang w:val="en-US"/>
          </w:rPr>
          <w:t>Office of High Commissioner for Human Rights, 2017</w:t>
        </w:r>
      </w:hyperlink>
    </w:p>
  </w:footnote>
  <w:footnote w:id="18">
    <w:p w:rsidR="00CB1C31" w:rsidRDefault="00CB1C31">
      <w:pPr>
        <w:pStyle w:val="FootnoteText"/>
      </w:pPr>
      <w:r>
        <w:rPr>
          <w:rStyle w:val="FootnoteReference"/>
        </w:rPr>
        <w:footnoteRef/>
      </w:r>
      <w:r>
        <w:t xml:space="preserve"> </w:t>
      </w:r>
      <w:hyperlink w:anchor="_ENREF_63" w:tooltip="UNISDR, 2011 #59" w:history="1">
        <w:r>
          <w:rPr>
            <w:noProof/>
            <w:lang w:val="en-US"/>
          </w:rPr>
          <w:t>UNISDR, 2011</w:t>
        </w:r>
      </w:hyperlink>
      <w:r>
        <w:rPr>
          <w:noProof/>
          <w:lang w:val="en-US"/>
        </w:rPr>
        <w:t xml:space="preserve">; </w:t>
      </w:r>
      <w:hyperlink w:anchor="_ENREF_66" w:tooltip="United Nations University, 2014 #60" w:history="1">
        <w:r>
          <w:rPr>
            <w:noProof/>
            <w:lang w:val="en-US"/>
          </w:rPr>
          <w:t>United Nations University, 2014</w:t>
        </w:r>
      </w:hyperlink>
    </w:p>
  </w:footnote>
  <w:footnote w:id="19">
    <w:p w:rsidR="00CB1C31" w:rsidRDefault="00CB1C31">
      <w:pPr>
        <w:pStyle w:val="FootnoteText"/>
      </w:pPr>
      <w:r>
        <w:rPr>
          <w:rStyle w:val="FootnoteReference"/>
        </w:rPr>
        <w:footnoteRef/>
      </w:r>
      <w:r>
        <w:t xml:space="preserve"> </w:t>
      </w:r>
      <w:hyperlink w:anchor="_ENREF_31" w:tooltip="Juen, 2016 #62" w:history="1">
        <w:r>
          <w:rPr>
            <w:noProof/>
            <w:lang w:val="en-US"/>
          </w:rPr>
          <w:t>Juen, 2016</w:t>
        </w:r>
      </w:hyperlink>
      <w:r>
        <w:rPr>
          <w:noProof/>
          <w:lang w:val="en-US"/>
        </w:rPr>
        <w:t xml:space="preserve">; </w:t>
      </w:r>
      <w:hyperlink w:anchor="_ENREF_52" w:tooltip="Ronoh, 2015 #61" w:history="1">
        <w:r>
          <w:rPr>
            <w:noProof/>
            <w:lang w:val="en-US"/>
          </w:rPr>
          <w:t>Ronoh, Gaillard, &amp; Marlowe, 2015</w:t>
        </w:r>
      </w:hyperlink>
    </w:p>
  </w:footnote>
  <w:footnote w:id="20">
    <w:p w:rsidR="00CB1C31" w:rsidRDefault="00CB1C31">
      <w:pPr>
        <w:pStyle w:val="FootnoteText"/>
      </w:pPr>
      <w:r>
        <w:rPr>
          <w:rStyle w:val="FootnoteReference"/>
        </w:rPr>
        <w:footnoteRef/>
      </w:r>
      <w:r>
        <w:t xml:space="preserve"> </w:t>
      </w:r>
      <w:hyperlink w:anchor="_ENREF_73" w:tooltip="WHO, 2013 #63" w:history="1">
        <w:r>
          <w:rPr>
            <w:noProof/>
            <w:lang w:val="en-US"/>
          </w:rPr>
          <w:t>WHO, 2013</w:t>
        </w:r>
      </w:hyperlink>
    </w:p>
  </w:footnote>
  <w:footnote w:id="21">
    <w:p w:rsidR="00CB1C31" w:rsidRPr="00810309" w:rsidRDefault="00CB1C31" w:rsidP="003665E6">
      <w:pPr>
        <w:pStyle w:val="FootnoteText"/>
      </w:pPr>
      <w:r>
        <w:rPr>
          <w:rStyle w:val="FootnoteReference"/>
        </w:rPr>
        <w:footnoteRef/>
      </w:r>
      <w:r>
        <w:t xml:space="preserve"> </w:t>
      </w:r>
      <w:r>
        <w:rPr>
          <w:noProof/>
          <w:lang w:val="en-US"/>
        </w:rPr>
        <w:t>UNISDR 2011</w:t>
      </w:r>
    </w:p>
  </w:footnote>
  <w:footnote w:id="22">
    <w:p w:rsidR="00CB1C31" w:rsidRDefault="00CB1C31">
      <w:pPr>
        <w:pStyle w:val="FootnoteText"/>
      </w:pPr>
      <w:r>
        <w:rPr>
          <w:rStyle w:val="FootnoteReference"/>
        </w:rPr>
        <w:footnoteRef/>
      </w:r>
      <w:r>
        <w:t xml:space="preserve"> </w:t>
      </w:r>
      <w:hyperlink w:anchor="_ENREF_3" w:tooltip="ARC,  #65" w:history="1">
        <w:r>
          <w:rPr>
            <w:noProof/>
            <w:lang w:val="en-US"/>
          </w:rPr>
          <w:t>ARC</w:t>
        </w:r>
      </w:hyperlink>
      <w:r>
        <w:rPr>
          <w:noProof/>
          <w:lang w:val="en-US"/>
        </w:rPr>
        <w:t xml:space="preserve">; </w:t>
      </w:r>
      <w:hyperlink w:anchor="_ENREF_44" w:tooltip="Palestinian Refugee News Network In Lebanon, 2017 #66" w:history="1">
        <w:r>
          <w:rPr>
            <w:noProof/>
            <w:lang w:val="en-US"/>
          </w:rPr>
          <w:t>Palestinian Refugee News Network In Lebanon, 2017</w:t>
        </w:r>
      </w:hyperlink>
      <w:r>
        <w:rPr>
          <w:noProof/>
          <w:lang w:val="en-US"/>
        </w:rPr>
        <w:t xml:space="preserve">; </w:t>
      </w:r>
      <w:hyperlink w:anchor="_ENREF_63" w:tooltip="UNISDR, 2011 #59" w:history="1">
        <w:r>
          <w:rPr>
            <w:noProof/>
            <w:lang w:val="en-US"/>
          </w:rPr>
          <w:t>UNISDR, 2011</w:t>
        </w:r>
      </w:hyperlink>
      <w:r>
        <w:rPr>
          <w:noProof/>
          <w:lang w:val="en-US"/>
        </w:rPr>
        <w:t xml:space="preserve">; </w:t>
      </w:r>
      <w:hyperlink w:anchor="_ENREF_73" w:tooltip="WHO, 2013 #63" w:history="1">
        <w:r>
          <w:rPr>
            <w:noProof/>
            <w:lang w:val="en-US"/>
          </w:rPr>
          <w:t>WHO, 2013</w:t>
        </w:r>
      </w:hyperlink>
    </w:p>
  </w:footnote>
  <w:footnote w:id="23">
    <w:p w:rsidR="00CB1C31" w:rsidRDefault="00CB1C31">
      <w:pPr>
        <w:pStyle w:val="FootnoteText"/>
      </w:pPr>
      <w:r>
        <w:rPr>
          <w:rStyle w:val="FootnoteReference"/>
        </w:rPr>
        <w:footnoteRef/>
      </w:r>
      <w:r>
        <w:t xml:space="preserve"> </w:t>
      </w:r>
      <w:hyperlink w:anchor="_ENREF_48" w:tooltip="Rohwerder, 2015 #1" w:history="1">
        <w:r>
          <w:rPr>
            <w:noProof/>
            <w:lang w:val="en-US"/>
          </w:rPr>
          <w:t>Rohwerder, 2015</w:t>
        </w:r>
      </w:hyperlink>
      <w:r>
        <w:rPr>
          <w:noProof/>
          <w:lang w:val="en-US"/>
        </w:rPr>
        <w:t xml:space="preserve">; </w:t>
      </w:r>
      <w:hyperlink w:anchor="_ENREF_52" w:tooltip="Ronoh, 2015 #61" w:history="1">
        <w:r>
          <w:rPr>
            <w:noProof/>
            <w:lang w:val="en-US"/>
          </w:rPr>
          <w:t>Ronoh et al., 2015</w:t>
        </w:r>
      </w:hyperlink>
      <w:r>
        <w:rPr>
          <w:noProof/>
          <w:lang w:val="en-US"/>
        </w:rPr>
        <w:t xml:space="preserve">; </w:t>
      </w:r>
      <w:hyperlink w:anchor="_ENREF_56" w:tooltip="Smith, 2012 #69" w:history="1">
        <w:r>
          <w:rPr>
            <w:noProof/>
            <w:lang w:val="en-US"/>
          </w:rPr>
          <w:t>Smith, 2012</w:t>
        </w:r>
      </w:hyperlink>
      <w:r>
        <w:rPr>
          <w:noProof/>
          <w:lang w:val="en-US"/>
        </w:rPr>
        <w:t xml:space="preserve">; </w:t>
      </w:r>
      <w:hyperlink w:anchor="_ENREF_66" w:tooltip="United Nations University, 2014 #60" w:history="1">
        <w:r>
          <w:rPr>
            <w:noProof/>
            <w:lang w:val="en-US"/>
          </w:rPr>
          <w:t>United Nations University, 2014</w:t>
        </w:r>
      </w:hyperlink>
      <w:r>
        <w:rPr>
          <w:noProof/>
          <w:lang w:val="en-US"/>
        </w:rPr>
        <w:t xml:space="preserve">; </w:t>
      </w:r>
      <w:hyperlink w:anchor="_ENREF_68" w:tooltip="Van Ommeren, 2014 #68" w:history="1">
        <w:r>
          <w:rPr>
            <w:noProof/>
            <w:lang w:val="en-US"/>
          </w:rPr>
          <w:t>Van Ommeren, 2014</w:t>
        </w:r>
      </w:hyperlink>
      <w:r>
        <w:rPr>
          <w:noProof/>
          <w:lang w:val="en-US"/>
        </w:rPr>
        <w:t xml:space="preserve">; </w:t>
      </w:r>
      <w:hyperlink w:anchor="_ENREF_75" w:tooltip="World Bank, 2016 #67" w:history="1">
        <w:r>
          <w:rPr>
            <w:noProof/>
            <w:lang w:val="en-US"/>
          </w:rPr>
          <w:t>World Bank, 2016</w:t>
        </w:r>
      </w:hyperlink>
    </w:p>
  </w:footnote>
  <w:footnote w:id="24">
    <w:p w:rsidR="00CB1C31" w:rsidRDefault="00CB1C31" w:rsidP="003665E6">
      <w:pPr>
        <w:pStyle w:val="FootnoteText"/>
      </w:pPr>
      <w:r>
        <w:rPr>
          <w:rStyle w:val="FootnoteReference"/>
        </w:rPr>
        <w:footnoteRef/>
      </w:r>
      <w:r>
        <w:t xml:space="preserve"> </w:t>
      </w:r>
      <w:r>
        <w:rPr>
          <w:noProof/>
          <w:lang w:val="en-US"/>
        </w:rPr>
        <w:t>UNISDR, 2011</w:t>
      </w:r>
    </w:p>
  </w:footnote>
  <w:footnote w:id="25">
    <w:p w:rsidR="00CB1C31" w:rsidRPr="00810309" w:rsidRDefault="00CB1C31" w:rsidP="003665E6">
      <w:pPr>
        <w:pStyle w:val="FootnoteText"/>
        <w:rPr>
          <w:lang w:val="en-US"/>
        </w:rPr>
      </w:pPr>
      <w:r>
        <w:rPr>
          <w:rStyle w:val="FootnoteReference"/>
        </w:rPr>
        <w:footnoteRef/>
      </w:r>
      <w:r>
        <w:t xml:space="preserve"> </w:t>
      </w:r>
      <w:r>
        <w:rPr>
          <w:noProof/>
          <w:lang w:val="en-US"/>
        </w:rPr>
        <w:t>Shehadeh, 2015</w:t>
      </w:r>
    </w:p>
  </w:footnote>
  <w:footnote w:id="26">
    <w:p w:rsidR="00CB1C31" w:rsidRPr="00810309" w:rsidRDefault="00CB1C31" w:rsidP="003665E6">
      <w:pPr>
        <w:pStyle w:val="FootnoteText"/>
        <w:rPr>
          <w:lang w:val="en-US"/>
        </w:rPr>
      </w:pPr>
      <w:r>
        <w:rPr>
          <w:rStyle w:val="FootnoteReference"/>
        </w:rPr>
        <w:footnoteRef/>
      </w:r>
      <w:r>
        <w:t xml:space="preserve"> </w:t>
      </w:r>
      <w:r>
        <w:rPr>
          <w:noProof/>
          <w:lang w:val="en-US"/>
        </w:rPr>
        <w:t>Giacaman et al., 2011</w:t>
      </w:r>
    </w:p>
  </w:footnote>
  <w:footnote w:id="27">
    <w:p w:rsidR="00CB1C31" w:rsidRDefault="00CB1C31" w:rsidP="003665E6">
      <w:pPr>
        <w:pStyle w:val="FootnoteText"/>
      </w:pPr>
      <w:r>
        <w:rPr>
          <w:rStyle w:val="FootnoteReference"/>
        </w:rPr>
        <w:footnoteRef/>
      </w:r>
      <w:r>
        <w:t xml:space="preserve"> </w:t>
      </w:r>
      <w:r>
        <w:rPr>
          <w:noProof/>
        </w:rPr>
        <w:t>Palestinian Refugee News Network In Lebanon, 2017</w:t>
      </w:r>
    </w:p>
  </w:footnote>
  <w:footnote w:id="28">
    <w:p w:rsidR="00CB1C31" w:rsidRDefault="00CB1C31">
      <w:pPr>
        <w:pStyle w:val="FootnoteText"/>
      </w:pPr>
      <w:r>
        <w:rPr>
          <w:rStyle w:val="FootnoteReference"/>
        </w:rPr>
        <w:footnoteRef/>
      </w:r>
      <w:r>
        <w:t xml:space="preserve"> </w:t>
      </w:r>
      <w:hyperlink w:anchor="_ENREF_13" w:tooltip="Charara, 2017 #71" w:history="1">
        <w:r>
          <w:rPr>
            <w:noProof/>
          </w:rPr>
          <w:t>Charara et al., 2017</w:t>
        </w:r>
      </w:hyperlink>
    </w:p>
  </w:footnote>
  <w:footnote w:id="29">
    <w:p w:rsidR="00CB1C31" w:rsidRDefault="00CB1C31">
      <w:pPr>
        <w:pStyle w:val="FootnoteText"/>
      </w:pPr>
      <w:r>
        <w:rPr>
          <w:rStyle w:val="FootnoteReference"/>
        </w:rPr>
        <w:footnoteRef/>
      </w:r>
      <w:r>
        <w:t xml:space="preserve"> </w:t>
      </w:r>
      <w:hyperlink w:anchor="_ENREF_45" w:tooltip="Palestinian Refugees News Network in Lebanon, 2017 #55" w:history="1">
        <w:r>
          <w:rPr>
            <w:noProof/>
          </w:rPr>
          <w:t>Palestinian Refugees News Network in Lebanon, 2017</w:t>
        </w:r>
      </w:hyperlink>
    </w:p>
  </w:footnote>
  <w:footnote w:id="30">
    <w:p w:rsidR="00CB1C31" w:rsidRDefault="00CB1C31" w:rsidP="003665E6">
      <w:pPr>
        <w:pStyle w:val="FootnoteText"/>
      </w:pPr>
      <w:r>
        <w:rPr>
          <w:rStyle w:val="FootnoteReference"/>
        </w:rPr>
        <w:footnoteRef/>
      </w:r>
      <w:r>
        <w:t xml:space="preserve"> </w:t>
      </w:r>
      <w:r>
        <w:rPr>
          <w:noProof/>
        </w:rPr>
        <w:t>Shani, 2017</w:t>
      </w:r>
    </w:p>
  </w:footnote>
  <w:footnote w:id="31">
    <w:p w:rsidR="00CB1C31" w:rsidRPr="00810309" w:rsidRDefault="00CB1C31" w:rsidP="003665E6">
      <w:pPr>
        <w:pStyle w:val="FootnoteText"/>
        <w:rPr>
          <w:lang w:val="en-US"/>
        </w:rPr>
      </w:pPr>
      <w:r>
        <w:rPr>
          <w:rStyle w:val="FootnoteReference"/>
        </w:rPr>
        <w:footnoteRef/>
      </w:r>
      <w:r>
        <w:t xml:space="preserve"> </w:t>
      </w:r>
      <w:r>
        <w:rPr>
          <w:noProof/>
        </w:rPr>
        <w:t>Barber and Jamei, 2017</w:t>
      </w:r>
    </w:p>
  </w:footnote>
  <w:footnote w:id="32">
    <w:p w:rsidR="00CB1C31" w:rsidRDefault="00CB1C31">
      <w:pPr>
        <w:pStyle w:val="FootnoteText"/>
      </w:pPr>
      <w:r>
        <w:rPr>
          <w:rStyle w:val="FootnoteReference"/>
        </w:rPr>
        <w:footnoteRef/>
      </w:r>
      <w:r>
        <w:t xml:space="preserve"> </w:t>
      </w:r>
      <w:hyperlink w:anchor="_ENREF_21" w:tooltip="Goodley, 2016 #52" w:history="1">
        <w:r>
          <w:rPr>
            <w:noProof/>
            <w:lang w:val="en-US"/>
          </w:rPr>
          <w:t>Goodley, 2016</w:t>
        </w:r>
      </w:hyperlink>
    </w:p>
  </w:footnote>
  <w:footnote w:id="33">
    <w:p w:rsidR="00CB1C31" w:rsidRDefault="00CB1C31">
      <w:pPr>
        <w:pStyle w:val="FootnoteText"/>
      </w:pPr>
      <w:r>
        <w:rPr>
          <w:rStyle w:val="FootnoteReference"/>
        </w:rPr>
        <w:footnoteRef/>
      </w:r>
      <w:r>
        <w:t xml:space="preserve"> </w:t>
      </w:r>
      <w:hyperlink w:anchor="_ENREF_14" w:tooltip="Clegg, 2017 #37" w:history="1">
        <w:r>
          <w:rPr>
            <w:noProof/>
            <w:lang w:val="en-US"/>
          </w:rPr>
          <w:t>Clegg &amp; Bigby, 2017</w:t>
        </w:r>
      </w:hyperlink>
    </w:p>
  </w:footnote>
  <w:footnote w:id="34">
    <w:p w:rsidR="00CB1C31" w:rsidRDefault="00CB1C31">
      <w:pPr>
        <w:pStyle w:val="FootnoteText"/>
      </w:pPr>
      <w:r>
        <w:rPr>
          <w:rStyle w:val="FootnoteReference"/>
        </w:rPr>
        <w:footnoteRef/>
      </w:r>
      <w:r>
        <w:t xml:space="preserve"> </w:t>
      </w:r>
      <w:r w:rsidRPr="00E40436">
        <w:t>Klynman, Kouppari, &amp; Mukhier, 2007; Mitchell, 2014; Rohwerder, 2013; Ronoh et al., 2015; United Nations University, 2014</w:t>
      </w:r>
    </w:p>
  </w:footnote>
  <w:footnote w:id="35">
    <w:p w:rsidR="00CB1C31" w:rsidRDefault="00CB1C31">
      <w:pPr>
        <w:pStyle w:val="FootnoteText"/>
      </w:pPr>
      <w:r>
        <w:rPr>
          <w:rStyle w:val="FootnoteReference"/>
        </w:rPr>
        <w:footnoteRef/>
      </w:r>
      <w:r>
        <w:t xml:space="preserve"> </w:t>
      </w:r>
      <w:hyperlink w:anchor="_ENREF_14" w:tooltip="Clegg, 2017 #37" w:history="1">
        <w:r>
          <w:rPr>
            <w:noProof/>
            <w:lang w:val="en-US"/>
          </w:rPr>
          <w:t>Clegg &amp; Bigby, 2017</w:t>
        </w:r>
      </w:hyperlink>
    </w:p>
  </w:footnote>
  <w:footnote w:id="36">
    <w:p w:rsidR="00CB1C31" w:rsidRPr="008207DE" w:rsidRDefault="00CB1C31">
      <w:pPr>
        <w:pStyle w:val="FootnoteText"/>
        <w:rPr>
          <w:lang w:val="en-US"/>
        </w:rPr>
      </w:pPr>
      <w:r>
        <w:rPr>
          <w:rStyle w:val="FootnoteReference"/>
        </w:rPr>
        <w:footnoteRef/>
      </w:r>
      <w:r>
        <w:t xml:space="preserve"> </w:t>
      </w:r>
      <w:r w:rsidRPr="00E40436">
        <w:t>Klynman, Kouppari, &amp; Mukhier, 2007</w:t>
      </w:r>
    </w:p>
  </w:footnote>
  <w:footnote w:id="37">
    <w:p w:rsidR="00CB1C31" w:rsidRDefault="00CB1C31">
      <w:pPr>
        <w:pStyle w:val="FootnoteText"/>
      </w:pPr>
      <w:r>
        <w:rPr>
          <w:rStyle w:val="FootnoteReference"/>
        </w:rPr>
        <w:footnoteRef/>
      </w:r>
      <w:r>
        <w:t xml:space="preserve"> </w:t>
      </w:r>
      <w:hyperlink w:anchor="_ENREF_62" w:tooltip="UNICEF, 2017 #34" w:history="1">
        <w:r>
          <w:rPr>
            <w:noProof/>
            <w:lang w:val="en-US"/>
          </w:rPr>
          <w:t>UNICEF, 2017</w:t>
        </w:r>
      </w:hyperlink>
    </w:p>
  </w:footnote>
  <w:footnote w:id="38">
    <w:p w:rsidR="00CB1C31" w:rsidRDefault="00CB1C31">
      <w:pPr>
        <w:pStyle w:val="FootnoteText"/>
      </w:pPr>
      <w:r>
        <w:rPr>
          <w:rStyle w:val="FootnoteReference"/>
        </w:rPr>
        <w:footnoteRef/>
      </w:r>
      <w:r>
        <w:t xml:space="preserve"> </w:t>
      </w:r>
      <w:hyperlink w:anchor="_ENREF_29" w:tooltip="Inclusion International, 2006 #26" w:history="1">
        <w:r>
          <w:rPr>
            <w:noProof/>
            <w:lang w:val="en-US"/>
          </w:rPr>
          <w:t>Inclusion International, 2006</w:t>
        </w:r>
      </w:hyperlink>
    </w:p>
  </w:footnote>
  <w:footnote w:id="39">
    <w:p w:rsidR="00CB1C31" w:rsidRDefault="00CB1C31">
      <w:pPr>
        <w:pStyle w:val="FootnoteText"/>
      </w:pPr>
      <w:r>
        <w:rPr>
          <w:rStyle w:val="FootnoteReference"/>
        </w:rPr>
        <w:footnoteRef/>
      </w:r>
      <w:r>
        <w:t xml:space="preserve"> </w:t>
      </w:r>
      <w:hyperlink w:anchor="_ENREF_75" w:tooltip="World Bank, 2016 #67" w:history="1">
        <w:r>
          <w:rPr>
            <w:noProof/>
            <w:lang w:val="en-US"/>
          </w:rPr>
          <w:t>World Bank, 2016</w:t>
        </w:r>
      </w:hyperlink>
    </w:p>
  </w:footnote>
  <w:footnote w:id="40">
    <w:p w:rsidR="00CB1C31" w:rsidRDefault="00CB1C31" w:rsidP="003665E6">
      <w:pPr>
        <w:pStyle w:val="FootnoteText"/>
      </w:pPr>
      <w:r>
        <w:rPr>
          <w:rStyle w:val="FootnoteReference"/>
        </w:rPr>
        <w:footnoteRef/>
      </w:r>
      <w:r>
        <w:t xml:space="preserve"> </w:t>
      </w:r>
      <w:r>
        <w:rPr>
          <w:noProof/>
          <w:lang w:val="en-US"/>
        </w:rPr>
        <w:t>United Nations University, 2014</w:t>
      </w:r>
    </w:p>
  </w:footnote>
  <w:footnote w:id="41">
    <w:p w:rsidR="00CB1C31" w:rsidRDefault="00CB1C31" w:rsidP="003665E6">
      <w:pPr>
        <w:pStyle w:val="FootnoteText"/>
      </w:pPr>
      <w:r>
        <w:rPr>
          <w:rStyle w:val="FootnoteReference"/>
        </w:rPr>
        <w:footnoteRef/>
      </w:r>
      <w:r>
        <w:t xml:space="preserve"> </w:t>
      </w:r>
      <w:r>
        <w:rPr>
          <w:noProof/>
          <w:lang w:val="en-US"/>
        </w:rPr>
        <w:t>Berghs &amp; Kabbara, 2016; Rohwerder, 2015</w:t>
      </w:r>
    </w:p>
  </w:footnote>
  <w:footnote w:id="42">
    <w:p w:rsidR="00CB1C31" w:rsidRDefault="00CB1C31">
      <w:pPr>
        <w:pStyle w:val="FootnoteText"/>
      </w:pPr>
      <w:r>
        <w:rPr>
          <w:rStyle w:val="FootnoteReference"/>
        </w:rPr>
        <w:footnoteRef/>
      </w:r>
      <w:r>
        <w:t xml:space="preserve"> </w:t>
      </w:r>
      <w:hyperlink w:anchor="_ENREF_9" w:tooltip="Braithwaite, 2009 #80" w:history="1">
        <w:r>
          <w:rPr>
            <w:noProof/>
            <w:lang w:val="en-US"/>
          </w:rPr>
          <w:t>Braithwaite &amp; Mont, 2009</w:t>
        </w:r>
      </w:hyperlink>
      <w:r>
        <w:rPr>
          <w:noProof/>
          <w:lang w:val="en-US"/>
        </w:rPr>
        <w:t xml:space="preserve">; </w:t>
      </w:r>
      <w:hyperlink w:anchor="_ENREF_32" w:tooltip="Klynman, 2007 #72" w:history="1">
        <w:r>
          <w:rPr>
            <w:noProof/>
            <w:lang w:val="en-US"/>
          </w:rPr>
          <w:t>Klynman et al., 2007</w:t>
        </w:r>
      </w:hyperlink>
    </w:p>
  </w:footnote>
  <w:footnote w:id="43">
    <w:p w:rsidR="00CB1C31" w:rsidRDefault="00CB1C31">
      <w:pPr>
        <w:pStyle w:val="FootnoteText"/>
      </w:pPr>
      <w:r>
        <w:rPr>
          <w:rStyle w:val="FootnoteReference"/>
        </w:rPr>
        <w:footnoteRef/>
      </w:r>
      <w:r>
        <w:t xml:space="preserve"> </w:t>
      </w:r>
      <w:hyperlink w:anchor="_ENREF_33" w:tooltip="Lansdown, 2012 #33" w:history="1">
        <w:r>
          <w:rPr>
            <w:noProof/>
            <w:lang w:val="en-US"/>
          </w:rPr>
          <w:t>Lansdown, 2012</w:t>
        </w:r>
      </w:hyperlink>
    </w:p>
  </w:footnote>
  <w:footnote w:id="44">
    <w:p w:rsidR="00CB1C31" w:rsidRDefault="00CB1C31">
      <w:pPr>
        <w:pStyle w:val="FootnoteText"/>
      </w:pPr>
      <w:r>
        <w:rPr>
          <w:rStyle w:val="FootnoteReference"/>
        </w:rPr>
        <w:footnoteRef/>
      </w:r>
      <w:r>
        <w:t xml:space="preserve"> </w:t>
      </w:r>
      <w:hyperlink w:anchor="_ENREF_75" w:tooltip="World Bank, 2016 #67" w:history="1">
        <w:r>
          <w:rPr>
            <w:noProof/>
            <w:lang w:val="en-US"/>
          </w:rPr>
          <w:t>World Bank, 2016</w:t>
        </w:r>
      </w:hyperlink>
    </w:p>
  </w:footnote>
  <w:footnote w:id="45">
    <w:p w:rsidR="00CB1C31" w:rsidRPr="00F4502F" w:rsidRDefault="00CB1C31" w:rsidP="003665E6">
      <w:pPr>
        <w:pStyle w:val="FootnoteText"/>
        <w:rPr>
          <w:lang w:val="en-US"/>
        </w:rPr>
      </w:pPr>
      <w:r>
        <w:rPr>
          <w:rStyle w:val="FootnoteReference"/>
        </w:rPr>
        <w:footnoteRef/>
      </w:r>
      <w:r>
        <w:t xml:space="preserve"> </w:t>
      </w:r>
      <w:r>
        <w:rPr>
          <w:noProof/>
          <w:lang w:val="en-US"/>
        </w:rPr>
        <w:t>UNISDR, 2012</w:t>
      </w:r>
    </w:p>
  </w:footnote>
  <w:footnote w:id="46">
    <w:p w:rsidR="00CB1C31" w:rsidRPr="00F4502F" w:rsidRDefault="00CB1C31" w:rsidP="003665E6">
      <w:pPr>
        <w:pStyle w:val="FootnoteText"/>
        <w:rPr>
          <w:lang w:val="en-US"/>
        </w:rPr>
      </w:pPr>
      <w:r>
        <w:rPr>
          <w:rStyle w:val="FootnoteReference"/>
        </w:rPr>
        <w:footnoteRef/>
      </w:r>
      <w:r>
        <w:t xml:space="preserve"> </w:t>
      </w:r>
      <w:r>
        <w:rPr>
          <w:noProof/>
          <w:lang w:val="en-US"/>
        </w:rPr>
        <w:t>Wehbi, 2011</w:t>
      </w:r>
    </w:p>
  </w:footnote>
  <w:footnote w:id="47">
    <w:p w:rsidR="00CB1C31" w:rsidRPr="00F4502F" w:rsidRDefault="00CB1C31" w:rsidP="003665E6">
      <w:pPr>
        <w:pStyle w:val="FootnoteText"/>
        <w:rPr>
          <w:lang w:val="en-US"/>
        </w:rPr>
      </w:pPr>
      <w:r>
        <w:rPr>
          <w:rStyle w:val="FootnoteReference"/>
        </w:rPr>
        <w:footnoteRef/>
      </w:r>
      <w:r>
        <w:t xml:space="preserve"> </w:t>
      </w:r>
      <w:r>
        <w:rPr>
          <w:noProof/>
          <w:lang w:val="en-US"/>
        </w:rPr>
        <w:t>UNHCR, 2016</w:t>
      </w:r>
    </w:p>
  </w:footnote>
  <w:footnote w:id="48">
    <w:p w:rsidR="00CB1C31" w:rsidRDefault="00CB1C31">
      <w:pPr>
        <w:pStyle w:val="FootnoteText"/>
      </w:pPr>
      <w:r>
        <w:rPr>
          <w:rStyle w:val="FootnoteReference"/>
        </w:rPr>
        <w:footnoteRef/>
      </w:r>
      <w:r>
        <w:t xml:space="preserve"> </w:t>
      </w:r>
      <w:hyperlink w:anchor="_ENREF_9" w:tooltip="Braithwaite, 2009 #80" w:history="1">
        <w:r>
          <w:rPr>
            <w:noProof/>
            <w:lang w:val="en-US"/>
          </w:rPr>
          <w:t>Braithwaite &amp; Mont, 2009</w:t>
        </w:r>
      </w:hyperlink>
    </w:p>
  </w:footnote>
  <w:footnote w:id="49">
    <w:p w:rsidR="00CB1C31" w:rsidRDefault="00CB1C31">
      <w:pPr>
        <w:pStyle w:val="FootnoteText"/>
      </w:pPr>
      <w:r>
        <w:rPr>
          <w:rStyle w:val="FootnoteReference"/>
        </w:rPr>
        <w:footnoteRef/>
      </w:r>
      <w:r>
        <w:t xml:space="preserve"> </w:t>
      </w:r>
      <w:hyperlink w:anchor="_ENREF_30" w:tooltip="Irish Aid, 2011 #81" w:history="1">
        <w:r>
          <w:rPr>
            <w:noProof/>
            <w:lang w:val="en-US"/>
          </w:rPr>
          <w:t>Irish Aid, 2011</w:t>
        </w:r>
      </w:hyperlink>
    </w:p>
  </w:footnote>
  <w:footnote w:id="50">
    <w:p w:rsidR="00CB1C31" w:rsidRDefault="00CB1C31" w:rsidP="003665E6">
      <w:pPr>
        <w:pStyle w:val="FootnoteText"/>
      </w:pPr>
      <w:r>
        <w:rPr>
          <w:rStyle w:val="FootnoteReference"/>
        </w:rPr>
        <w:footnoteRef/>
      </w:r>
      <w:r>
        <w:t xml:space="preserve"> </w:t>
      </w:r>
      <w:r>
        <w:rPr>
          <w:noProof/>
          <w:lang w:val="en-US"/>
        </w:rPr>
        <w:t>Lansdown, 2012; Office of High Commissioner for Human Rights, 2017; UNISDR, 2011; Women’s Refugee Commission, 2013</w:t>
      </w:r>
    </w:p>
  </w:footnote>
  <w:footnote w:id="51">
    <w:p w:rsidR="00CB1C31" w:rsidRDefault="00CB1C31">
      <w:pPr>
        <w:pStyle w:val="FootnoteText"/>
      </w:pPr>
      <w:r>
        <w:rPr>
          <w:rStyle w:val="FootnoteReference"/>
        </w:rPr>
        <w:footnoteRef/>
      </w:r>
      <w:r>
        <w:t xml:space="preserve"> </w:t>
      </w:r>
      <w:hyperlink w:anchor="_ENREF_2" w:tooltip="ADCAP, 2017 #83" w:history="1">
        <w:r>
          <w:rPr>
            <w:noProof/>
            <w:lang w:val="en-US"/>
          </w:rPr>
          <w:t>ADCAP, 2017</w:t>
        </w:r>
      </w:hyperlink>
      <w:r>
        <w:rPr>
          <w:noProof/>
          <w:lang w:val="en-US"/>
        </w:rPr>
        <w:t xml:space="preserve">; </w:t>
      </w:r>
      <w:hyperlink w:anchor="_ENREF_16" w:tooltip="Collinson, 2015 #35" w:history="1">
        <w:r>
          <w:rPr>
            <w:noProof/>
            <w:lang w:val="en-US"/>
          </w:rPr>
          <w:t>Collinson, 2015</w:t>
        </w:r>
      </w:hyperlink>
    </w:p>
  </w:footnote>
  <w:footnote w:id="52">
    <w:p w:rsidR="00CB1C31" w:rsidRDefault="00CB1C31">
      <w:pPr>
        <w:pStyle w:val="FootnoteText"/>
      </w:pPr>
      <w:r>
        <w:rPr>
          <w:rStyle w:val="FootnoteReference"/>
        </w:rPr>
        <w:footnoteRef/>
      </w:r>
      <w:r>
        <w:t xml:space="preserve"> </w:t>
      </w:r>
      <w:hyperlink w:anchor="_ENREF_42" w:tooltip="Office of High Commissioner for Human Rights, 2017 #79" w:history="1">
        <w:r>
          <w:rPr>
            <w:noProof/>
            <w:lang w:val="en-US"/>
          </w:rPr>
          <w:t>Office of High Commissioner for Human Rights, 2017</w:t>
        </w:r>
      </w:hyperlink>
      <w:r>
        <w:rPr>
          <w:noProof/>
          <w:lang w:val="en-US"/>
        </w:rPr>
        <w:t xml:space="preserve">; </w:t>
      </w:r>
      <w:hyperlink w:anchor="_ENREF_49" w:tooltip="Rohwerder, 2016 #85" w:history="1">
        <w:r>
          <w:rPr>
            <w:noProof/>
            <w:lang w:val="en-US"/>
          </w:rPr>
          <w:t>Rohwerder, 2016</w:t>
        </w:r>
      </w:hyperlink>
      <w:r>
        <w:rPr>
          <w:noProof/>
          <w:lang w:val="en-US"/>
        </w:rPr>
        <w:t xml:space="preserve">, </w:t>
      </w:r>
      <w:hyperlink w:anchor="_ENREF_51" w:tooltip="Rohwerder, 2017 #84" w:history="1">
        <w:r>
          <w:rPr>
            <w:noProof/>
            <w:lang w:val="en-US"/>
          </w:rPr>
          <w:t>2017b</w:t>
        </w:r>
      </w:hyperlink>
    </w:p>
  </w:footnote>
  <w:footnote w:id="53">
    <w:p w:rsidR="00CB1C31" w:rsidRDefault="00CB1C31">
      <w:pPr>
        <w:pStyle w:val="FootnoteText"/>
      </w:pPr>
      <w:r>
        <w:rPr>
          <w:rStyle w:val="FootnoteReference"/>
        </w:rPr>
        <w:footnoteRef/>
      </w:r>
      <w:r>
        <w:t xml:space="preserve"> </w:t>
      </w:r>
      <w:hyperlink w:anchor="_ENREF_48" w:tooltip="Rohwerder, 2015 #1" w:history="1">
        <w:r>
          <w:rPr>
            <w:noProof/>
            <w:lang w:val="en-US"/>
          </w:rPr>
          <w:t>Rohwerder, 2015</w:t>
        </w:r>
      </w:hyperlink>
    </w:p>
  </w:footnote>
  <w:footnote w:id="54">
    <w:p w:rsidR="00CB1C31" w:rsidRDefault="00CB1C31">
      <w:pPr>
        <w:pStyle w:val="FootnoteText"/>
      </w:pPr>
      <w:r>
        <w:rPr>
          <w:rStyle w:val="FootnoteReference"/>
        </w:rPr>
        <w:footnoteRef/>
      </w:r>
      <w:r>
        <w:t xml:space="preserve"> </w:t>
      </w:r>
      <w:hyperlink w:anchor="_ENREF_32" w:tooltip="Klynman, 2007 #72" w:history="1">
        <w:r>
          <w:rPr>
            <w:noProof/>
            <w:lang w:val="en-US"/>
          </w:rPr>
          <w:t>Klynman et al., 2007</w:t>
        </w:r>
      </w:hyperlink>
    </w:p>
  </w:footnote>
  <w:footnote w:id="55">
    <w:p w:rsidR="00CB1C31" w:rsidRDefault="00CB1C31">
      <w:pPr>
        <w:pStyle w:val="FootnoteText"/>
      </w:pPr>
      <w:r>
        <w:rPr>
          <w:rStyle w:val="FootnoteReference"/>
        </w:rPr>
        <w:footnoteRef/>
      </w:r>
      <w:r>
        <w:t xml:space="preserve"> </w:t>
      </w:r>
      <w:hyperlink w:anchor="_ENREF_32" w:tooltip="Klynman, 2007 #72" w:history="1">
        <w:r>
          <w:rPr>
            <w:noProof/>
            <w:lang w:val="en-US"/>
          </w:rPr>
          <w:t>Klynman et al., 2007</w:t>
        </w:r>
      </w:hyperlink>
      <w:r>
        <w:rPr>
          <w:noProof/>
          <w:lang w:val="en-US"/>
        </w:rPr>
        <w:t xml:space="preserve">; </w:t>
      </w:r>
      <w:hyperlink w:anchor="_ENREF_63" w:tooltip="UNISDR, 2011 #59" w:history="1">
        <w:r>
          <w:rPr>
            <w:noProof/>
            <w:lang w:val="en-US"/>
          </w:rPr>
          <w:t>UNISDR, 2011</w:t>
        </w:r>
      </w:hyperlink>
    </w:p>
  </w:footnote>
  <w:footnote w:id="56">
    <w:p w:rsidR="00CB1C31" w:rsidRDefault="00CB1C31">
      <w:pPr>
        <w:pStyle w:val="FootnoteText"/>
      </w:pPr>
      <w:r>
        <w:rPr>
          <w:rStyle w:val="FootnoteReference"/>
        </w:rPr>
        <w:footnoteRef/>
      </w:r>
      <w:r>
        <w:t xml:space="preserve"> </w:t>
      </w:r>
      <w:hyperlink w:anchor="_ENREF_47" w:tooltip="Rohwerder, 2013 #2" w:history="1">
        <w:r>
          <w:rPr>
            <w:noProof/>
            <w:lang w:val="en-US"/>
          </w:rPr>
          <w:t>Rohwerder, 2013</w:t>
        </w:r>
      </w:hyperlink>
    </w:p>
  </w:footnote>
  <w:footnote w:id="57">
    <w:p w:rsidR="00CB1C31" w:rsidRPr="00F4502F" w:rsidRDefault="00CB1C31" w:rsidP="003665E6">
      <w:pPr>
        <w:pStyle w:val="FootnoteText"/>
      </w:pPr>
      <w:r>
        <w:rPr>
          <w:rStyle w:val="FootnoteReference"/>
        </w:rPr>
        <w:footnoteRef/>
      </w:r>
      <w:r>
        <w:t xml:space="preserve"> </w:t>
      </w:r>
      <w:r>
        <w:rPr>
          <w:noProof/>
          <w:lang w:val="en-US"/>
        </w:rPr>
        <w:t>Juen, 2016</w:t>
      </w:r>
    </w:p>
  </w:footnote>
  <w:footnote w:id="58">
    <w:p w:rsidR="00CB1C31" w:rsidRDefault="00CB1C31">
      <w:pPr>
        <w:pStyle w:val="FootnoteText"/>
      </w:pPr>
      <w:r>
        <w:rPr>
          <w:rStyle w:val="FootnoteReference"/>
        </w:rPr>
        <w:footnoteRef/>
      </w:r>
      <w:r>
        <w:t xml:space="preserve"> </w:t>
      </w:r>
      <w:hyperlink w:anchor="_ENREF_32" w:tooltip="Klynman, 2007 #72" w:history="1">
        <w:r>
          <w:rPr>
            <w:noProof/>
            <w:lang w:val="en-US"/>
          </w:rPr>
          <w:t>Klynman et al., 2007</w:t>
        </w:r>
      </w:hyperlink>
      <w:r>
        <w:rPr>
          <w:noProof/>
          <w:lang w:val="en-US"/>
        </w:rPr>
        <w:t xml:space="preserve">; </w:t>
      </w:r>
      <w:hyperlink w:anchor="_ENREF_47" w:tooltip="Rohwerder, 2013 #2" w:history="1">
        <w:r>
          <w:rPr>
            <w:noProof/>
            <w:lang w:val="en-US"/>
          </w:rPr>
          <w:t>Rohwerder, 2013</w:t>
        </w:r>
      </w:hyperlink>
      <w:r>
        <w:rPr>
          <w:noProof/>
          <w:lang w:val="en-US"/>
        </w:rPr>
        <w:t xml:space="preserve">; </w:t>
      </w:r>
      <w:hyperlink w:anchor="_ENREF_52" w:tooltip="Ronoh, 2015 #61" w:history="1">
        <w:r>
          <w:rPr>
            <w:noProof/>
            <w:lang w:val="en-US"/>
          </w:rPr>
          <w:t>Ronoh et al., 2015</w:t>
        </w:r>
      </w:hyperlink>
      <w:r>
        <w:rPr>
          <w:noProof/>
          <w:lang w:val="en-US"/>
        </w:rPr>
        <w:t xml:space="preserve">; </w:t>
      </w:r>
      <w:hyperlink w:anchor="_ENREF_63" w:tooltip="UNISDR, 2011 #59" w:history="1">
        <w:r>
          <w:rPr>
            <w:noProof/>
            <w:lang w:val="en-US"/>
          </w:rPr>
          <w:t>UNISDR, 2011</w:t>
        </w:r>
      </w:hyperlink>
    </w:p>
  </w:footnote>
  <w:footnote w:id="59">
    <w:p w:rsidR="00CB1C31" w:rsidRDefault="00CB1C31">
      <w:pPr>
        <w:pStyle w:val="FootnoteText"/>
      </w:pPr>
      <w:r>
        <w:rPr>
          <w:rStyle w:val="FootnoteReference"/>
        </w:rPr>
        <w:footnoteRef/>
      </w:r>
      <w:r>
        <w:t xml:space="preserve"> </w:t>
      </w:r>
      <w:hyperlink w:anchor="_ENREF_66" w:tooltip="United Nations University, 2014 #60" w:history="1">
        <w:r>
          <w:rPr>
            <w:noProof/>
            <w:lang w:val="en-US"/>
          </w:rPr>
          <w:t>United Nations University, 2014</w:t>
        </w:r>
      </w:hyperlink>
    </w:p>
  </w:footnote>
  <w:footnote w:id="60">
    <w:p w:rsidR="00CB1C31" w:rsidRDefault="00CB1C31">
      <w:pPr>
        <w:pStyle w:val="FootnoteText"/>
      </w:pPr>
      <w:r>
        <w:rPr>
          <w:rStyle w:val="FootnoteReference"/>
        </w:rPr>
        <w:footnoteRef/>
      </w:r>
      <w:r>
        <w:t xml:space="preserve"> </w:t>
      </w:r>
      <w:hyperlink w:anchor="_ENREF_25" w:tooltip="Hemingway, 2014 #46" w:history="1">
        <w:r>
          <w:rPr>
            <w:noProof/>
            <w:lang w:val="en-US"/>
          </w:rPr>
          <w:t>Hemingway &amp; Priestley, 2014</w:t>
        </w:r>
      </w:hyperlink>
      <w:r>
        <w:rPr>
          <w:noProof/>
          <w:lang w:val="en-US"/>
        </w:rPr>
        <w:t xml:space="preserve">; </w:t>
      </w:r>
      <w:hyperlink w:anchor="_ENREF_40" w:tooltip="Mitchell, 2014 #32" w:history="1">
        <w:r>
          <w:rPr>
            <w:noProof/>
            <w:lang w:val="en-US"/>
          </w:rPr>
          <w:t>Mitchell, 2014</w:t>
        </w:r>
      </w:hyperlink>
      <w:r>
        <w:rPr>
          <w:noProof/>
          <w:lang w:val="en-US"/>
        </w:rPr>
        <w:t xml:space="preserve">; </w:t>
      </w:r>
      <w:hyperlink w:anchor="_ENREF_47" w:tooltip="Rohwerder, 2013 #2" w:history="1">
        <w:r>
          <w:rPr>
            <w:noProof/>
            <w:lang w:val="en-US"/>
          </w:rPr>
          <w:t>Rohwerder, 2013</w:t>
        </w:r>
      </w:hyperlink>
      <w:r>
        <w:rPr>
          <w:noProof/>
          <w:lang w:val="en-US"/>
        </w:rPr>
        <w:t xml:space="preserve">; </w:t>
      </w:r>
      <w:hyperlink w:anchor="_ENREF_52" w:tooltip="Ronoh, 2015 #61" w:history="1">
        <w:r>
          <w:rPr>
            <w:noProof/>
            <w:lang w:val="en-US"/>
          </w:rPr>
          <w:t>Ronoh et al., 2015</w:t>
        </w:r>
      </w:hyperlink>
    </w:p>
  </w:footnote>
  <w:footnote w:id="61">
    <w:p w:rsidR="00CB1C31" w:rsidRDefault="00CB1C31">
      <w:pPr>
        <w:pStyle w:val="FootnoteText"/>
      </w:pPr>
      <w:r>
        <w:rPr>
          <w:rStyle w:val="FootnoteReference"/>
        </w:rPr>
        <w:footnoteRef/>
      </w:r>
      <w:r>
        <w:t xml:space="preserve"> </w:t>
      </w:r>
      <w:hyperlink w:anchor="_ENREF_26" w:tooltip="Herr, 2003 #56" w:history="1">
        <w:r>
          <w:rPr>
            <w:noProof/>
            <w:lang w:val="en-US"/>
          </w:rPr>
          <w:t>Herr et al., 2003</w:t>
        </w:r>
      </w:hyperlink>
    </w:p>
  </w:footnote>
  <w:footnote w:id="62">
    <w:p w:rsidR="00CB1C31" w:rsidRDefault="00CB1C31" w:rsidP="003665E6">
      <w:pPr>
        <w:pStyle w:val="FootnoteText"/>
      </w:pPr>
      <w:r>
        <w:rPr>
          <w:rStyle w:val="FootnoteReference"/>
        </w:rPr>
        <w:footnoteRef/>
      </w:r>
      <w:r>
        <w:t xml:space="preserve"> </w:t>
      </w:r>
      <w:r>
        <w:rPr>
          <w:noProof/>
          <w:lang w:val="en-US"/>
        </w:rPr>
        <w:t>Klynman, Kouppari, &amp; Mukhier, 2007</w:t>
      </w:r>
    </w:p>
  </w:footnote>
  <w:footnote w:id="63">
    <w:p w:rsidR="00CB1C31" w:rsidRDefault="00CB1C31">
      <w:pPr>
        <w:pStyle w:val="FootnoteText"/>
      </w:pPr>
      <w:r>
        <w:rPr>
          <w:rStyle w:val="FootnoteReference"/>
        </w:rPr>
        <w:footnoteRef/>
      </w:r>
      <w:r>
        <w:t xml:space="preserve"> </w:t>
      </w:r>
      <w:hyperlink w:anchor="_ENREF_32" w:tooltip="Klynman, 2007 #72" w:history="1">
        <w:r>
          <w:rPr>
            <w:noProof/>
            <w:lang w:val="en-US"/>
          </w:rPr>
          <w:t>Klynman et al., 2007</w:t>
        </w:r>
      </w:hyperlink>
      <w:r>
        <w:rPr>
          <w:noProof/>
          <w:lang w:val="en-US"/>
        </w:rPr>
        <w:t xml:space="preserve">; </w:t>
      </w:r>
      <w:hyperlink w:anchor="_ENREF_48" w:tooltip="Rohwerder, 2015 #1" w:history="1">
        <w:r>
          <w:rPr>
            <w:noProof/>
            <w:lang w:val="en-US"/>
          </w:rPr>
          <w:t>Rohwerder, 2015</w:t>
        </w:r>
      </w:hyperlink>
      <w:r>
        <w:rPr>
          <w:noProof/>
          <w:lang w:val="en-US"/>
        </w:rPr>
        <w:t xml:space="preserve">; </w:t>
      </w:r>
      <w:hyperlink w:anchor="_ENREF_52" w:tooltip="Ronoh, 2015 #61" w:history="1">
        <w:r>
          <w:rPr>
            <w:noProof/>
            <w:lang w:val="en-US"/>
          </w:rPr>
          <w:t>Ronoh et al., 2015</w:t>
        </w:r>
      </w:hyperlink>
      <w:r>
        <w:rPr>
          <w:noProof/>
          <w:lang w:val="en-US"/>
        </w:rPr>
        <w:t xml:space="preserve">; </w:t>
      </w:r>
      <w:hyperlink w:anchor="_ENREF_56" w:tooltip="Smith, 2012 #69" w:history="1">
        <w:r>
          <w:rPr>
            <w:noProof/>
            <w:lang w:val="en-US"/>
          </w:rPr>
          <w:t>Smith, 2012</w:t>
        </w:r>
      </w:hyperlink>
      <w:r>
        <w:rPr>
          <w:noProof/>
          <w:lang w:val="en-US"/>
        </w:rPr>
        <w:t xml:space="preserve">; </w:t>
      </w:r>
      <w:hyperlink w:anchor="_ENREF_66" w:tooltip="United Nations University, 2014 #60" w:history="1">
        <w:r>
          <w:rPr>
            <w:noProof/>
            <w:lang w:val="en-US"/>
          </w:rPr>
          <w:t>United Nations University, 2014</w:t>
        </w:r>
      </w:hyperlink>
      <w:r>
        <w:rPr>
          <w:noProof/>
          <w:lang w:val="en-US"/>
        </w:rPr>
        <w:t xml:space="preserve">; </w:t>
      </w:r>
      <w:hyperlink w:anchor="_ENREF_68" w:tooltip="Van Ommeren, 2014 #68" w:history="1">
        <w:r>
          <w:rPr>
            <w:noProof/>
            <w:lang w:val="en-US"/>
          </w:rPr>
          <w:t>Van Ommeren, 2014</w:t>
        </w:r>
      </w:hyperlink>
      <w:r>
        <w:rPr>
          <w:noProof/>
          <w:lang w:val="en-US"/>
        </w:rPr>
        <w:t xml:space="preserve">; </w:t>
      </w:r>
      <w:hyperlink w:anchor="_ENREF_75" w:tooltip="World Bank, 2016 #67" w:history="1">
        <w:r>
          <w:rPr>
            <w:noProof/>
            <w:lang w:val="en-US"/>
          </w:rPr>
          <w:t>World Bank, 2016</w:t>
        </w:r>
      </w:hyperlink>
    </w:p>
  </w:footnote>
  <w:footnote w:id="64">
    <w:p w:rsidR="00CB1C31" w:rsidRDefault="00CB1C31">
      <w:pPr>
        <w:pStyle w:val="FootnoteText"/>
      </w:pPr>
      <w:r>
        <w:rPr>
          <w:rStyle w:val="FootnoteReference"/>
        </w:rPr>
        <w:footnoteRef/>
      </w:r>
      <w:r>
        <w:t xml:space="preserve"> </w:t>
      </w:r>
      <w:hyperlink w:anchor="_ENREF_14" w:tooltip="Clegg, 2017 #37" w:history="1">
        <w:r>
          <w:rPr>
            <w:noProof/>
            <w:lang w:val="en-US"/>
          </w:rPr>
          <w:t>Clegg &amp; Bigby, 2017</w:t>
        </w:r>
      </w:hyperlink>
      <w:r>
        <w:rPr>
          <w:noProof/>
          <w:lang w:val="en-US"/>
        </w:rPr>
        <w:t xml:space="preserve">; </w:t>
      </w:r>
      <w:hyperlink w:anchor="_ENREF_47" w:tooltip="Rohwerder, 2013 #2" w:history="1">
        <w:r>
          <w:rPr>
            <w:noProof/>
            <w:lang w:val="en-US"/>
          </w:rPr>
          <w:t>Rohwerder, 2013</w:t>
        </w:r>
      </w:hyperlink>
    </w:p>
  </w:footnote>
  <w:footnote w:id="65">
    <w:p w:rsidR="00CB1C31" w:rsidRDefault="00CB1C31">
      <w:pPr>
        <w:pStyle w:val="FootnoteText"/>
      </w:pPr>
      <w:r>
        <w:rPr>
          <w:rStyle w:val="FootnoteReference"/>
        </w:rPr>
        <w:footnoteRef/>
      </w:r>
      <w:r>
        <w:t xml:space="preserve"> </w:t>
      </w:r>
      <w:hyperlink w:anchor="_ENREF_47" w:tooltip="Rohwerder, 2013 #2" w:history="1">
        <w:r>
          <w:rPr>
            <w:noProof/>
            <w:lang w:val="en-US"/>
          </w:rPr>
          <w:t>Rohwerder, 2013</w:t>
        </w:r>
      </w:hyperlink>
    </w:p>
  </w:footnote>
  <w:footnote w:id="66">
    <w:p w:rsidR="00CB1C31" w:rsidRDefault="00CB1C31">
      <w:pPr>
        <w:pStyle w:val="FootnoteText"/>
      </w:pPr>
      <w:r>
        <w:rPr>
          <w:rStyle w:val="FootnoteReference"/>
        </w:rPr>
        <w:footnoteRef/>
      </w:r>
      <w:r>
        <w:t xml:space="preserve"> </w:t>
      </w:r>
      <w:hyperlink w:anchor="_ENREF_48" w:tooltip="Rohwerder, 2015 #1" w:history="1">
        <w:r>
          <w:rPr>
            <w:noProof/>
            <w:lang w:val="en-US"/>
          </w:rPr>
          <w:t>Rohwerder, 2015</w:t>
        </w:r>
      </w:hyperlink>
      <w:r>
        <w:rPr>
          <w:noProof/>
          <w:lang w:val="en-US"/>
        </w:rPr>
        <w:t xml:space="preserve">; </w:t>
      </w:r>
      <w:hyperlink w:anchor="_ENREF_56" w:tooltip="Smith, 2012 #69" w:history="1">
        <w:r>
          <w:rPr>
            <w:noProof/>
            <w:lang w:val="en-US"/>
          </w:rPr>
          <w:t>Smith, 2012</w:t>
        </w:r>
      </w:hyperlink>
      <w:r>
        <w:rPr>
          <w:noProof/>
          <w:lang w:val="en-US"/>
        </w:rPr>
        <w:t xml:space="preserve">; </w:t>
      </w:r>
      <w:hyperlink w:anchor="_ENREF_68" w:tooltip="Van Ommeren, 2014 #68" w:history="1">
        <w:r>
          <w:rPr>
            <w:noProof/>
            <w:lang w:val="en-US"/>
          </w:rPr>
          <w:t>Van Ommeren, 2014</w:t>
        </w:r>
      </w:hyperlink>
      <w:r>
        <w:rPr>
          <w:noProof/>
          <w:lang w:val="en-US"/>
        </w:rPr>
        <w:t xml:space="preserve">; </w:t>
      </w:r>
      <w:hyperlink w:anchor="_ENREF_75" w:tooltip="World Bank, 2016 #67" w:history="1">
        <w:r>
          <w:rPr>
            <w:noProof/>
            <w:lang w:val="en-US"/>
          </w:rPr>
          <w:t>World Bank, 2016</w:t>
        </w:r>
      </w:hyperlink>
    </w:p>
  </w:footnote>
  <w:footnote w:id="67">
    <w:p w:rsidR="00CB1C31" w:rsidRDefault="00CB1C31">
      <w:pPr>
        <w:pStyle w:val="FootnoteText"/>
      </w:pPr>
      <w:r>
        <w:rPr>
          <w:rStyle w:val="FootnoteReference"/>
        </w:rPr>
        <w:footnoteRef/>
      </w:r>
      <w:r>
        <w:t xml:space="preserve"> </w:t>
      </w:r>
      <w:hyperlink w:anchor="_ENREF_32" w:tooltip="Klynman, 2007 #72" w:history="1">
        <w:r>
          <w:rPr>
            <w:noProof/>
            <w:lang w:val="en-US"/>
          </w:rPr>
          <w:t>Klynman et al., 2007</w:t>
        </w:r>
      </w:hyperlink>
      <w:r>
        <w:rPr>
          <w:noProof/>
          <w:lang w:val="en-US"/>
        </w:rPr>
        <w:t xml:space="preserve">; </w:t>
      </w:r>
      <w:hyperlink w:anchor="_ENREF_63" w:tooltip="UNISDR, 2011 #59" w:history="1">
        <w:r>
          <w:rPr>
            <w:noProof/>
            <w:lang w:val="en-US"/>
          </w:rPr>
          <w:t>UNISDR, 2011</w:t>
        </w:r>
      </w:hyperlink>
    </w:p>
  </w:footnote>
  <w:footnote w:id="68">
    <w:p w:rsidR="00CB1C31" w:rsidRDefault="00CB1C31">
      <w:pPr>
        <w:pStyle w:val="FootnoteText"/>
      </w:pPr>
      <w:r>
        <w:rPr>
          <w:rStyle w:val="FootnoteReference"/>
        </w:rPr>
        <w:footnoteRef/>
      </w:r>
      <w:r>
        <w:t xml:space="preserve"> </w:t>
      </w:r>
      <w:hyperlink w:anchor="_ENREF_40" w:tooltip="Mitchell, 2014 #32" w:history="1">
        <w:r>
          <w:rPr>
            <w:noProof/>
            <w:lang w:val="en-US"/>
          </w:rPr>
          <w:t>Mitchell, 2014</w:t>
        </w:r>
      </w:hyperlink>
    </w:p>
  </w:footnote>
  <w:footnote w:id="69">
    <w:p w:rsidR="00CB1C31" w:rsidRDefault="00CB1C31">
      <w:pPr>
        <w:pStyle w:val="FootnoteText"/>
      </w:pPr>
      <w:r>
        <w:rPr>
          <w:rStyle w:val="FootnoteReference"/>
        </w:rPr>
        <w:footnoteRef/>
      </w:r>
      <w:r>
        <w:t xml:space="preserve"> </w:t>
      </w:r>
      <w:hyperlink w:anchor="_ENREF_36" w:tooltip="Marquez, 2016 #86" w:history="1">
        <w:r>
          <w:rPr>
            <w:noProof/>
            <w:lang w:val="en-US"/>
          </w:rPr>
          <w:t>Marquez, 2016</w:t>
        </w:r>
      </w:hyperlink>
    </w:p>
  </w:footnote>
  <w:footnote w:id="70">
    <w:p w:rsidR="00CB1C31" w:rsidRDefault="00CB1C31">
      <w:pPr>
        <w:pStyle w:val="FootnoteText"/>
      </w:pPr>
      <w:r>
        <w:rPr>
          <w:rStyle w:val="FootnoteReference"/>
        </w:rPr>
        <w:footnoteRef/>
      </w:r>
      <w:r>
        <w:t xml:space="preserve"> </w:t>
      </w:r>
      <w:hyperlink w:anchor="_ENREF_39" w:tooltip="Mirza, 2011 #106" w:history="1">
        <w:r>
          <w:rPr>
            <w:noProof/>
            <w:lang w:val="en-US"/>
          </w:rPr>
          <w:t>Mirza, 2011</w:t>
        </w:r>
      </w:hyperlink>
    </w:p>
  </w:footnote>
  <w:footnote w:id="71">
    <w:p w:rsidR="00CB1C31" w:rsidRDefault="00CB1C31">
      <w:pPr>
        <w:pStyle w:val="FootnoteText"/>
      </w:pPr>
      <w:r>
        <w:rPr>
          <w:rStyle w:val="FootnoteReference"/>
        </w:rPr>
        <w:footnoteRef/>
      </w:r>
      <w:r>
        <w:t xml:space="preserve"> </w:t>
      </w:r>
      <w:hyperlink w:anchor="_ENREF_74" w:tooltip="WHO IASC, 2007 #87" w:history="1">
        <w:r>
          <w:rPr>
            <w:noProof/>
            <w:lang w:val="en-US"/>
          </w:rPr>
          <w:t>WHO IASC, 2007</w:t>
        </w:r>
      </w:hyperlink>
    </w:p>
  </w:footnote>
  <w:footnote w:id="72">
    <w:p w:rsidR="00CB1C31" w:rsidRDefault="00CB1C31">
      <w:pPr>
        <w:pStyle w:val="FootnoteText"/>
      </w:pPr>
      <w:r>
        <w:rPr>
          <w:rStyle w:val="FootnoteReference"/>
        </w:rPr>
        <w:footnoteRef/>
      </w:r>
      <w:r>
        <w:t xml:space="preserve"> </w:t>
      </w:r>
      <w:hyperlink w:anchor="_ENREF_28" w:tooltip="Inclusion Europe, 2011 #112" w:history="1">
        <w:r>
          <w:rPr>
            <w:noProof/>
            <w:lang w:val="en-US"/>
          </w:rPr>
          <w:t>Inclusion Europe, 2011</w:t>
        </w:r>
      </w:hyperlink>
    </w:p>
  </w:footnote>
  <w:footnote w:id="73">
    <w:p w:rsidR="00CB1C31" w:rsidRDefault="00CB1C31">
      <w:pPr>
        <w:pStyle w:val="FootnoteText"/>
      </w:pPr>
      <w:r>
        <w:rPr>
          <w:rStyle w:val="FootnoteReference"/>
        </w:rPr>
        <w:footnoteRef/>
      </w:r>
      <w:r>
        <w:t xml:space="preserve"> </w:t>
      </w:r>
      <w:hyperlink w:anchor="_ENREF_40" w:tooltip="Mitchell, 2014 #32" w:history="1">
        <w:r>
          <w:rPr>
            <w:noProof/>
            <w:lang w:val="en-US"/>
          </w:rPr>
          <w:t>Mitchell, 2014</w:t>
        </w:r>
      </w:hyperlink>
      <w:r>
        <w:rPr>
          <w:noProof/>
          <w:lang w:val="en-US"/>
        </w:rPr>
        <w:t xml:space="preserve">; </w:t>
      </w:r>
      <w:hyperlink w:anchor="_ENREF_42" w:tooltip="Office of High Commissioner for Human Rights, 2017 #79" w:history="1">
        <w:r>
          <w:rPr>
            <w:noProof/>
            <w:lang w:val="en-US"/>
          </w:rPr>
          <w:t>Office of High Commissioner for Human Rights, 2017</w:t>
        </w:r>
      </w:hyperlink>
      <w:r>
        <w:rPr>
          <w:noProof/>
          <w:lang w:val="en-US"/>
        </w:rPr>
        <w:t xml:space="preserve">; </w:t>
      </w:r>
      <w:hyperlink w:anchor="_ENREF_43" w:tooltip="Palestinian Ministry of Social Affairs, 2009 #88" w:history="1">
        <w:r>
          <w:rPr>
            <w:noProof/>
            <w:lang w:val="en-US"/>
          </w:rPr>
          <w:t>Palestinian Ministry of Social Affairs, 2009</w:t>
        </w:r>
      </w:hyperlink>
    </w:p>
  </w:footnote>
  <w:footnote w:id="74">
    <w:p w:rsidR="00CB1C31" w:rsidRDefault="00CB1C31">
      <w:pPr>
        <w:pStyle w:val="FootnoteText"/>
      </w:pPr>
      <w:r>
        <w:rPr>
          <w:rStyle w:val="FootnoteReference"/>
        </w:rPr>
        <w:footnoteRef/>
      </w:r>
      <w:r>
        <w:t xml:space="preserve"> </w:t>
      </w:r>
      <w:hyperlink w:anchor="_ENREF_14" w:tooltip="Clegg, 2017 #37" w:history="1">
        <w:r>
          <w:rPr>
            <w:noProof/>
            <w:lang w:val="en-US"/>
          </w:rPr>
          <w:t>Clegg &amp; Bigby, 2017</w:t>
        </w:r>
      </w:hyperlink>
      <w:r>
        <w:rPr>
          <w:noProof/>
          <w:lang w:val="en-US"/>
        </w:rPr>
        <w:t xml:space="preserve">; </w:t>
      </w:r>
      <w:hyperlink w:anchor="_ENREF_47" w:tooltip="Rohwerder, 2013 #2" w:history="1">
        <w:r>
          <w:rPr>
            <w:noProof/>
            <w:lang w:val="en-US"/>
          </w:rPr>
          <w:t>Rohwerder, 2013</w:t>
        </w:r>
      </w:hyperlink>
      <w:r>
        <w:rPr>
          <w:noProof/>
          <w:lang w:val="en-US"/>
        </w:rPr>
        <w:t xml:space="preserve">; </w:t>
      </w:r>
      <w:hyperlink w:anchor="_ENREF_53" w:tooltip="Scior, 2015 #36" w:history="1">
        <w:r>
          <w:rPr>
            <w:noProof/>
            <w:lang w:val="en-US"/>
          </w:rPr>
          <w:t>Scior et al., 2015</w:t>
        </w:r>
      </w:hyperlink>
    </w:p>
  </w:footnote>
  <w:footnote w:id="75">
    <w:p w:rsidR="00CB1C31" w:rsidRPr="00F4502F" w:rsidRDefault="00CB1C31" w:rsidP="003665E6">
      <w:pPr>
        <w:pStyle w:val="FootnoteText"/>
        <w:rPr>
          <w:noProof/>
          <w:lang w:val="en-US"/>
        </w:rPr>
      </w:pPr>
      <w:r>
        <w:rPr>
          <w:rStyle w:val="FootnoteReference"/>
        </w:rPr>
        <w:footnoteRef/>
      </w:r>
      <w:r>
        <w:t xml:space="preserve"> </w:t>
      </w:r>
      <w:r w:rsidRPr="00F4502F">
        <w:rPr>
          <w:noProof/>
          <w:lang w:val="en-US"/>
        </w:rPr>
        <w:t>UNICEF, 2016, p. 9</w:t>
      </w:r>
    </w:p>
  </w:footnote>
  <w:footnote w:id="76">
    <w:p w:rsidR="00CB1C31" w:rsidRDefault="00CB1C31">
      <w:pPr>
        <w:pStyle w:val="FootnoteText"/>
      </w:pPr>
      <w:r>
        <w:rPr>
          <w:rStyle w:val="FootnoteReference"/>
        </w:rPr>
        <w:footnoteRef/>
      </w:r>
      <w:r>
        <w:t xml:space="preserve"> </w:t>
      </w:r>
      <w:hyperlink w:anchor="_ENREF_32" w:tooltip="Klynman, 2007 #72" w:history="1">
        <w:r>
          <w:rPr>
            <w:noProof/>
            <w:lang w:val="en-US"/>
          </w:rPr>
          <w:t>Klynman et al., 2007</w:t>
        </w:r>
      </w:hyperlink>
    </w:p>
  </w:footnote>
  <w:footnote w:id="77">
    <w:p w:rsidR="00CB1C31" w:rsidRDefault="00CB1C31">
      <w:pPr>
        <w:pStyle w:val="FootnoteText"/>
      </w:pPr>
      <w:r>
        <w:rPr>
          <w:rStyle w:val="FootnoteReference"/>
        </w:rPr>
        <w:footnoteRef/>
      </w:r>
      <w:r>
        <w:t xml:space="preserve"> </w:t>
      </w:r>
      <w:hyperlink w:anchor="_ENREF_48" w:tooltip="Rohwerder, 2015 #1" w:history="1">
        <w:r>
          <w:rPr>
            <w:noProof/>
            <w:lang w:val="en-US"/>
          </w:rPr>
          <w:t>Rohwerder, 2015</w:t>
        </w:r>
      </w:hyperlink>
      <w:r>
        <w:rPr>
          <w:noProof/>
          <w:lang w:val="en-US"/>
        </w:rPr>
        <w:t xml:space="preserve">; </w:t>
      </w:r>
      <w:hyperlink w:anchor="_ENREF_56" w:tooltip="Smith, 2012 #69" w:history="1">
        <w:r>
          <w:rPr>
            <w:noProof/>
            <w:lang w:val="en-US"/>
          </w:rPr>
          <w:t>Smith, 2012</w:t>
        </w:r>
      </w:hyperlink>
      <w:r>
        <w:rPr>
          <w:noProof/>
          <w:lang w:val="en-US"/>
        </w:rPr>
        <w:t xml:space="preserve">; </w:t>
      </w:r>
      <w:hyperlink w:anchor="_ENREF_68" w:tooltip="Van Ommeren, 2014 #68" w:history="1">
        <w:r>
          <w:rPr>
            <w:noProof/>
            <w:lang w:val="en-US"/>
          </w:rPr>
          <w:t>Van Ommeren, 2014</w:t>
        </w:r>
      </w:hyperlink>
      <w:r>
        <w:rPr>
          <w:noProof/>
          <w:lang w:val="en-US"/>
        </w:rPr>
        <w:t xml:space="preserve">; </w:t>
      </w:r>
      <w:hyperlink w:anchor="_ENREF_75" w:tooltip="World Bank, 2016 #67" w:history="1">
        <w:r>
          <w:rPr>
            <w:noProof/>
            <w:lang w:val="en-US"/>
          </w:rPr>
          <w:t>World Bank, 2016</w:t>
        </w:r>
      </w:hyperlink>
    </w:p>
  </w:footnote>
  <w:footnote w:id="78">
    <w:p w:rsidR="00CB1C31" w:rsidRDefault="00CB1C31">
      <w:pPr>
        <w:pStyle w:val="FootnoteText"/>
      </w:pPr>
      <w:r>
        <w:rPr>
          <w:rStyle w:val="FootnoteReference"/>
        </w:rPr>
        <w:footnoteRef/>
      </w:r>
      <w:r>
        <w:t xml:space="preserve"> </w:t>
      </w:r>
      <w:hyperlink w:anchor="_ENREF_33" w:tooltip="Lansdown, 2012 #33" w:history="1">
        <w:r>
          <w:rPr>
            <w:noProof/>
            <w:lang w:val="en-US"/>
          </w:rPr>
          <w:t>Lansdown, 2012</w:t>
        </w:r>
      </w:hyperlink>
      <w:r>
        <w:rPr>
          <w:noProof/>
          <w:lang w:val="en-US"/>
        </w:rPr>
        <w:t xml:space="preserve">; </w:t>
      </w:r>
      <w:hyperlink w:anchor="_ENREF_42" w:tooltip="Office of High Commissioner for Human Rights, 2017 #79" w:history="1">
        <w:r>
          <w:rPr>
            <w:noProof/>
            <w:lang w:val="en-US"/>
          </w:rPr>
          <w:t>Office of High Commissioner for Human Rights, 2017</w:t>
        </w:r>
      </w:hyperlink>
      <w:r>
        <w:rPr>
          <w:noProof/>
          <w:lang w:val="en-US"/>
        </w:rPr>
        <w:t xml:space="preserve">; </w:t>
      </w:r>
      <w:hyperlink w:anchor="_ENREF_43" w:tooltip="Palestinian Ministry of Social Affairs, 2009 #88" w:history="1">
        <w:r>
          <w:rPr>
            <w:noProof/>
            <w:lang w:val="en-US"/>
          </w:rPr>
          <w:t>Palestinian Ministry of Social Affairs</w:t>
        </w:r>
      </w:hyperlink>
      <w:r>
        <w:rPr>
          <w:noProof/>
          <w:lang w:val="en-US"/>
        </w:rPr>
        <w:t xml:space="preserve">; </w:t>
      </w:r>
      <w:hyperlink w:anchor="_ENREF_48" w:tooltip="Rohwerder, 2015 #1" w:history="1">
        <w:r>
          <w:rPr>
            <w:noProof/>
            <w:lang w:val="en-US"/>
          </w:rPr>
          <w:t>Rohwerder, 2015</w:t>
        </w:r>
      </w:hyperlink>
      <w:r>
        <w:rPr>
          <w:noProof/>
          <w:lang w:val="en-US"/>
        </w:rPr>
        <w:t xml:space="preserve">; </w:t>
      </w:r>
      <w:hyperlink w:anchor="_ENREF_56" w:tooltip="Smith, 2012 #69" w:history="1">
        <w:r>
          <w:rPr>
            <w:noProof/>
            <w:lang w:val="en-US"/>
          </w:rPr>
          <w:t>Smith, 2012</w:t>
        </w:r>
      </w:hyperlink>
      <w:r>
        <w:rPr>
          <w:noProof/>
          <w:lang w:val="en-US"/>
        </w:rPr>
        <w:t xml:space="preserve">; </w:t>
      </w:r>
      <w:hyperlink w:anchor="_ENREF_68" w:tooltip="Van Ommeren, 2014 #68" w:history="1">
        <w:r>
          <w:rPr>
            <w:noProof/>
            <w:lang w:val="en-US"/>
          </w:rPr>
          <w:t>Van Ommeren, 2014</w:t>
        </w:r>
      </w:hyperlink>
      <w:r>
        <w:rPr>
          <w:noProof/>
          <w:lang w:val="en-US"/>
        </w:rPr>
        <w:t xml:space="preserve">; </w:t>
      </w:r>
      <w:hyperlink w:anchor="_ENREF_75" w:tooltip="World Bank, 2016 #67" w:history="1">
        <w:r>
          <w:rPr>
            <w:noProof/>
            <w:lang w:val="en-US"/>
          </w:rPr>
          <w:t>World Bank, 2016</w:t>
        </w:r>
      </w:hyperlink>
    </w:p>
  </w:footnote>
  <w:footnote w:id="79">
    <w:p w:rsidR="00CB1C31" w:rsidRPr="00F4502F" w:rsidRDefault="00CB1C31" w:rsidP="003665E6">
      <w:pPr>
        <w:pStyle w:val="FootnoteText"/>
        <w:rPr>
          <w:lang w:val="en-US"/>
        </w:rPr>
      </w:pPr>
      <w:r>
        <w:rPr>
          <w:rStyle w:val="FootnoteReference"/>
        </w:rPr>
        <w:footnoteRef/>
      </w:r>
      <w:r>
        <w:t xml:space="preserve"> </w:t>
      </w:r>
      <w:r>
        <w:rPr>
          <w:noProof/>
          <w:lang w:val="en-US"/>
        </w:rPr>
        <w:t>UNICEF, 2016</w:t>
      </w:r>
    </w:p>
  </w:footnote>
  <w:footnote w:id="80">
    <w:p w:rsidR="00CB1C31" w:rsidRDefault="00CB1C31">
      <w:pPr>
        <w:pStyle w:val="FootnoteText"/>
      </w:pPr>
      <w:r>
        <w:rPr>
          <w:rStyle w:val="FootnoteReference"/>
        </w:rPr>
        <w:footnoteRef/>
      </w:r>
      <w:r>
        <w:t xml:space="preserve"> </w:t>
      </w:r>
      <w:hyperlink w:anchor="_ENREF_47" w:tooltip="Rohwerder, 2013 #2" w:history="1">
        <w:r>
          <w:rPr>
            <w:noProof/>
            <w:lang w:val="en-US"/>
          </w:rPr>
          <w:t>Rohwerder, 2013</w:t>
        </w:r>
      </w:hyperlink>
    </w:p>
  </w:footnote>
  <w:footnote w:id="81">
    <w:p w:rsidR="00CB1C31" w:rsidRDefault="00CB1C31">
      <w:pPr>
        <w:pStyle w:val="FootnoteText"/>
      </w:pPr>
      <w:r>
        <w:rPr>
          <w:rStyle w:val="FootnoteReference"/>
        </w:rPr>
        <w:footnoteRef/>
      </w:r>
      <w:r>
        <w:t xml:space="preserve"> </w:t>
      </w:r>
      <w:hyperlink w:anchor="_ENREF_16" w:tooltip="Collinson, 2015 #35" w:history="1">
        <w:r>
          <w:rPr>
            <w:noProof/>
            <w:lang w:val="en-US"/>
          </w:rPr>
          <w:t>Collinson, 2015</w:t>
        </w:r>
      </w:hyperlink>
      <w:r>
        <w:rPr>
          <w:noProof/>
          <w:lang w:val="en-US"/>
        </w:rPr>
        <w:t xml:space="preserve">; </w:t>
      </w:r>
      <w:hyperlink w:anchor="_ENREF_32" w:tooltip="Klynman, 2007 #72" w:history="1">
        <w:r>
          <w:rPr>
            <w:noProof/>
            <w:lang w:val="en-US"/>
          </w:rPr>
          <w:t>Klynman et al., 2007</w:t>
        </w:r>
      </w:hyperlink>
    </w:p>
  </w:footnote>
  <w:footnote w:id="82">
    <w:p w:rsidR="00CB1C31" w:rsidRPr="00F4502F" w:rsidRDefault="00CB1C31" w:rsidP="003665E6">
      <w:pPr>
        <w:pStyle w:val="FootnoteText"/>
      </w:pPr>
      <w:r>
        <w:rPr>
          <w:rStyle w:val="FootnoteReference"/>
        </w:rPr>
        <w:footnoteRef/>
      </w:r>
      <w:r>
        <w:t xml:space="preserve"> </w:t>
      </w:r>
      <w:r>
        <w:rPr>
          <w:noProof/>
          <w:lang w:val="en-US"/>
        </w:rPr>
        <w:t>Grove, Grove, &amp; Myerscough, 2010</w:t>
      </w:r>
    </w:p>
  </w:footnote>
  <w:footnote w:id="83">
    <w:p w:rsidR="00CB1C31" w:rsidRDefault="00CB1C31">
      <w:pPr>
        <w:pStyle w:val="FootnoteText"/>
      </w:pPr>
      <w:r>
        <w:rPr>
          <w:rStyle w:val="FootnoteReference"/>
        </w:rPr>
        <w:footnoteRef/>
      </w:r>
      <w:r>
        <w:t xml:space="preserve"> </w:t>
      </w:r>
      <w:hyperlink w:anchor="_ENREF_12" w:tooltip="CBM, 2013 #19" w:history="1">
        <w:r>
          <w:rPr>
            <w:noProof/>
            <w:lang w:val="en-US"/>
          </w:rPr>
          <w:t>CBM, 2013</w:t>
        </w:r>
      </w:hyperlink>
      <w:r>
        <w:rPr>
          <w:noProof/>
          <w:lang w:val="en-US"/>
        </w:rPr>
        <w:t xml:space="preserve">; </w:t>
      </w:r>
      <w:hyperlink w:anchor="_ENREF_23" w:tooltip="Handicap International, 2015 #15" w:history="1">
        <w:r>
          <w:rPr>
            <w:noProof/>
            <w:lang w:val="en-US"/>
          </w:rPr>
          <w:t>Handicap International, 2015</w:t>
        </w:r>
      </w:hyperlink>
      <w:r>
        <w:rPr>
          <w:noProof/>
          <w:lang w:val="en-US"/>
        </w:rPr>
        <w:t xml:space="preserve">; </w:t>
      </w:r>
      <w:hyperlink w:anchor="_ENREF_27" w:tooltip="Höfler, 2014 #90" w:history="1">
        <w:r>
          <w:rPr>
            <w:noProof/>
            <w:lang w:val="en-US"/>
          </w:rPr>
          <w:t>Höfler, 2014</w:t>
        </w:r>
      </w:hyperlink>
      <w:r>
        <w:rPr>
          <w:noProof/>
          <w:lang w:val="en-US"/>
        </w:rPr>
        <w:t xml:space="preserve">; </w:t>
      </w:r>
      <w:hyperlink w:anchor="_ENREF_55" w:tooltip="Shehadeh, 2015 #70" w:history="1">
        <w:r>
          <w:rPr>
            <w:noProof/>
            <w:lang w:val="en-US"/>
          </w:rPr>
          <w:t>Shehadeh, 2015</w:t>
        </w:r>
      </w:hyperlink>
    </w:p>
  </w:footnote>
  <w:footnote w:id="84">
    <w:p w:rsidR="00CB1C31" w:rsidRDefault="00CB1C31">
      <w:pPr>
        <w:pStyle w:val="FootnoteText"/>
      </w:pPr>
      <w:r>
        <w:rPr>
          <w:rStyle w:val="FootnoteReference"/>
        </w:rPr>
        <w:footnoteRef/>
      </w:r>
      <w:r>
        <w:t xml:space="preserve"> </w:t>
      </w:r>
      <w:hyperlink w:anchor="_ENREF_1" w:tooltip="Abed, 2010 #93" w:history="1">
        <w:r>
          <w:rPr>
            <w:noProof/>
            <w:lang w:val="en-US"/>
          </w:rPr>
          <w:t>Abed, Bermudez, &amp; Al Far, 2010</w:t>
        </w:r>
      </w:hyperlink>
      <w:r>
        <w:rPr>
          <w:noProof/>
          <w:lang w:val="en-US"/>
        </w:rPr>
        <w:t xml:space="preserve">; </w:t>
      </w:r>
      <w:hyperlink w:anchor="_ENREF_12" w:tooltip="CBM, 2013 #19" w:history="1">
        <w:r>
          <w:rPr>
            <w:noProof/>
            <w:lang w:val="en-US"/>
          </w:rPr>
          <w:t>CBM, 2013</w:t>
        </w:r>
      </w:hyperlink>
      <w:r>
        <w:rPr>
          <w:noProof/>
          <w:lang w:val="en-US"/>
        </w:rPr>
        <w:t xml:space="preserve">; </w:t>
      </w:r>
      <w:hyperlink w:anchor="_ENREF_57" w:tooltip="Spurway, 2016 #91" w:history="1">
        <w:r>
          <w:rPr>
            <w:noProof/>
            <w:lang w:val="en-US"/>
          </w:rPr>
          <w:t>Spurway &amp; Griffiths, 2016</w:t>
        </w:r>
      </w:hyperlink>
    </w:p>
  </w:footnote>
  <w:footnote w:id="85">
    <w:p w:rsidR="00CB1C31" w:rsidRPr="00E156B9" w:rsidRDefault="00CB1C31" w:rsidP="003665E6">
      <w:pPr>
        <w:pStyle w:val="FootnoteText"/>
      </w:pPr>
      <w:r>
        <w:rPr>
          <w:rStyle w:val="FootnoteReference"/>
        </w:rPr>
        <w:footnoteRef/>
      </w:r>
      <w:r>
        <w:t xml:space="preserve"> </w:t>
      </w:r>
      <w:r>
        <w:rPr>
          <w:noProof/>
          <w:lang w:val="en-US"/>
        </w:rPr>
        <w:t>CBM, 2013</w:t>
      </w:r>
    </w:p>
  </w:footnote>
  <w:footnote w:id="86">
    <w:p w:rsidR="00CB1C31" w:rsidRPr="00F4502F" w:rsidRDefault="00CB1C31">
      <w:pPr>
        <w:pStyle w:val="FootnoteText"/>
      </w:pPr>
      <w:r>
        <w:rPr>
          <w:rStyle w:val="FootnoteReference"/>
        </w:rPr>
        <w:footnoteRef/>
      </w:r>
      <w:r>
        <w:t xml:space="preserve"> </w:t>
      </w:r>
      <w:hyperlink w:anchor="_ENREF_13" w:tooltip="Giacaman, 2011 #64" w:history="1">
        <w:r>
          <w:rPr>
            <w:noProof/>
            <w:lang w:val="en-US"/>
          </w:rPr>
          <w:t>Giacaman et al., 2011</w:t>
        </w:r>
      </w:hyperlink>
    </w:p>
  </w:footnote>
  <w:footnote w:id="87">
    <w:p w:rsidR="00CB1C31" w:rsidRDefault="00CB1C31">
      <w:pPr>
        <w:pStyle w:val="FootnoteText"/>
      </w:pPr>
      <w:r>
        <w:rPr>
          <w:rStyle w:val="FootnoteReference"/>
        </w:rPr>
        <w:footnoteRef/>
      </w:r>
      <w:r>
        <w:t xml:space="preserve"> </w:t>
      </w:r>
      <w:hyperlink w:anchor="_ENREF_25" w:tooltip="Hemingway, 2014 #46" w:history="1">
        <w:r>
          <w:rPr>
            <w:noProof/>
            <w:lang w:val="en-US"/>
          </w:rPr>
          <w:t>Hemingway &amp; Priestley, 2014</w:t>
        </w:r>
      </w:hyperlink>
      <w:r>
        <w:rPr>
          <w:noProof/>
          <w:lang w:val="en-US"/>
        </w:rPr>
        <w:t xml:space="preserve">; </w:t>
      </w:r>
      <w:hyperlink w:anchor="_ENREF_47" w:tooltip="Rohwerder, 2013 #2" w:history="1">
        <w:r>
          <w:rPr>
            <w:noProof/>
            <w:lang w:val="en-US"/>
          </w:rPr>
          <w:t>Rohwerder, 2013</w:t>
        </w:r>
      </w:hyperlink>
      <w:r>
        <w:rPr>
          <w:noProof/>
          <w:lang w:val="en-US"/>
        </w:rPr>
        <w:t xml:space="preserve">; </w:t>
      </w:r>
      <w:hyperlink w:anchor="_ENREF_57" w:tooltip="Spurway, 2016 #91" w:history="1">
        <w:r>
          <w:rPr>
            <w:noProof/>
            <w:lang w:val="en-US"/>
          </w:rPr>
          <w:t>Spurway &amp; Griffiths, 2016</w:t>
        </w:r>
      </w:hyperlink>
      <w:r>
        <w:rPr>
          <w:noProof/>
          <w:lang w:val="en-US"/>
        </w:rPr>
        <w:t xml:space="preserve">; </w:t>
      </w:r>
      <w:hyperlink w:anchor="_ENREF_70" w:tooltip="Wessells, 2008 #94" w:history="1">
        <w:r>
          <w:rPr>
            <w:noProof/>
            <w:lang w:val="en-US"/>
          </w:rPr>
          <w:t>Wessells &amp; van Ommeren, 2008</w:t>
        </w:r>
      </w:hyperlink>
    </w:p>
  </w:footnote>
  <w:footnote w:id="88">
    <w:p w:rsidR="00CB1C31" w:rsidRDefault="00CB1C31" w:rsidP="003665E6">
      <w:pPr>
        <w:pStyle w:val="FootnoteText"/>
      </w:pPr>
      <w:r>
        <w:rPr>
          <w:rStyle w:val="FootnoteReference"/>
        </w:rPr>
        <w:footnoteRef/>
      </w:r>
      <w:r>
        <w:t xml:space="preserve"> </w:t>
      </w:r>
      <w:r>
        <w:rPr>
          <w:noProof/>
        </w:rPr>
        <w:t>Irish Aid, 2011; Klynman et al., 2007</w:t>
      </w:r>
    </w:p>
  </w:footnote>
  <w:footnote w:id="89">
    <w:p w:rsidR="00CB1C31" w:rsidRPr="00F4502F" w:rsidRDefault="00CB1C31" w:rsidP="003665E6">
      <w:pPr>
        <w:pStyle w:val="FootnoteText"/>
        <w:rPr>
          <w:lang w:val="en-US"/>
        </w:rPr>
      </w:pPr>
      <w:r>
        <w:rPr>
          <w:rStyle w:val="FootnoteReference"/>
        </w:rPr>
        <w:footnoteRef/>
      </w:r>
      <w:r>
        <w:t xml:space="preserve"> </w:t>
      </w:r>
      <w:r>
        <w:rPr>
          <w:noProof/>
        </w:rPr>
        <w:t>Herr et al., 2003</w:t>
      </w:r>
      <w:r>
        <w:t>, p.</w:t>
      </w:r>
      <w:r w:rsidRPr="00F4502F">
        <w:t>1</w:t>
      </w:r>
      <w:r>
        <w:t>3</w:t>
      </w:r>
      <w:r w:rsidRPr="00F4502F">
        <w:t>1</w:t>
      </w:r>
    </w:p>
  </w:footnote>
  <w:footnote w:id="90">
    <w:p w:rsidR="00CB1C31" w:rsidRDefault="00CB1C31">
      <w:pPr>
        <w:pStyle w:val="FootnoteText"/>
      </w:pPr>
      <w:r>
        <w:rPr>
          <w:rStyle w:val="FootnoteReference"/>
        </w:rPr>
        <w:footnoteRef/>
      </w:r>
      <w:r>
        <w:t xml:space="preserve"> </w:t>
      </w:r>
      <w:hyperlink w:anchor="_ENREF_60" w:tooltip="UN, 2006 #95" w:history="1">
        <w:r>
          <w:rPr>
            <w:noProof/>
          </w:rPr>
          <w:t>UN, 2006</w:t>
        </w:r>
      </w:hyperlink>
    </w:p>
  </w:footnote>
  <w:footnote w:id="91">
    <w:p w:rsidR="00CB1C31" w:rsidRDefault="00CB1C31" w:rsidP="003665E6">
      <w:pPr>
        <w:pStyle w:val="FootnoteText"/>
      </w:pPr>
      <w:r>
        <w:rPr>
          <w:rStyle w:val="FootnoteReference"/>
        </w:rPr>
        <w:footnoteRef/>
      </w:r>
      <w:r>
        <w:t xml:space="preserve"> </w:t>
      </w:r>
      <w:r>
        <w:rPr>
          <w:noProof/>
        </w:rPr>
        <w:t>Red Cross and Red Crescent, 2011</w:t>
      </w:r>
    </w:p>
  </w:footnote>
  <w:footnote w:id="92">
    <w:p w:rsidR="00CB1C31" w:rsidRDefault="00CB1C31">
      <w:pPr>
        <w:pStyle w:val="FootnoteText"/>
      </w:pPr>
      <w:r>
        <w:rPr>
          <w:rStyle w:val="FootnoteReference"/>
        </w:rPr>
        <w:footnoteRef/>
      </w:r>
      <w:r>
        <w:t xml:space="preserve"> </w:t>
      </w:r>
      <w:hyperlink w:anchor="_ENREF_74" w:tooltip="WHO IASC, 2007 #87" w:history="1">
        <w:r>
          <w:rPr>
            <w:noProof/>
          </w:rPr>
          <w:t>WHO IASC, 2007</w:t>
        </w:r>
      </w:hyperlink>
    </w:p>
  </w:footnote>
  <w:footnote w:id="93">
    <w:p w:rsidR="00CB1C31" w:rsidRDefault="00CB1C31">
      <w:pPr>
        <w:pStyle w:val="FootnoteText"/>
      </w:pPr>
      <w:r>
        <w:rPr>
          <w:rStyle w:val="FootnoteReference"/>
        </w:rPr>
        <w:footnoteRef/>
      </w:r>
      <w:r>
        <w:t xml:space="preserve"> </w:t>
      </w:r>
      <w:hyperlink w:anchor="_ENREF_12" w:tooltip="CBM, 2013 #19" w:history="1">
        <w:r>
          <w:rPr>
            <w:noProof/>
          </w:rPr>
          <w:t>CBM, 2013</w:t>
        </w:r>
      </w:hyperlink>
    </w:p>
  </w:footnote>
  <w:footnote w:id="94">
    <w:p w:rsidR="00CB1C31" w:rsidRDefault="00CB1C31">
      <w:pPr>
        <w:pStyle w:val="FootnoteText"/>
      </w:pPr>
      <w:r>
        <w:rPr>
          <w:rStyle w:val="FootnoteReference"/>
        </w:rPr>
        <w:footnoteRef/>
      </w:r>
      <w:r>
        <w:t xml:space="preserve"> </w:t>
      </w:r>
      <w:hyperlink w:anchor="_ENREF_18" w:tooltip="DIFD, 2015 #96" w:history="1">
        <w:r>
          <w:rPr>
            <w:noProof/>
          </w:rPr>
          <w:t>DIFD, 2015</w:t>
        </w:r>
      </w:hyperlink>
    </w:p>
  </w:footnote>
  <w:footnote w:id="95">
    <w:p w:rsidR="00CB1C31" w:rsidRDefault="00CB1C31" w:rsidP="003665E6">
      <w:pPr>
        <w:pStyle w:val="FootnoteText"/>
      </w:pPr>
      <w:r>
        <w:rPr>
          <w:rStyle w:val="FootnoteReference"/>
        </w:rPr>
        <w:footnoteRef/>
      </w:r>
      <w:r>
        <w:t xml:space="preserve"> </w:t>
      </w:r>
      <w:r>
        <w:rPr>
          <w:noProof/>
        </w:rPr>
        <w:t>AusAid, 2015</w:t>
      </w:r>
    </w:p>
  </w:footnote>
  <w:footnote w:id="96">
    <w:p w:rsidR="00CB1C31" w:rsidRDefault="00CB1C31" w:rsidP="003665E6">
      <w:pPr>
        <w:pStyle w:val="FootnoteText"/>
      </w:pPr>
      <w:r>
        <w:rPr>
          <w:rStyle w:val="FootnoteReference"/>
        </w:rPr>
        <w:footnoteRef/>
      </w:r>
      <w:r>
        <w:t xml:space="preserve"> </w:t>
      </w:r>
      <w:r>
        <w:rPr>
          <w:noProof/>
        </w:rPr>
        <w:t>Handicap International, 2015</w:t>
      </w:r>
    </w:p>
  </w:footnote>
  <w:footnote w:id="97">
    <w:p w:rsidR="00CB1C31" w:rsidRDefault="00CB1C31" w:rsidP="003665E6">
      <w:pPr>
        <w:pStyle w:val="FootnoteText"/>
      </w:pPr>
      <w:r>
        <w:rPr>
          <w:rStyle w:val="FootnoteReference"/>
        </w:rPr>
        <w:footnoteRef/>
      </w:r>
      <w:r>
        <w:t xml:space="preserve"> </w:t>
      </w:r>
      <w:r>
        <w:rPr>
          <w:noProof/>
        </w:rPr>
        <w:t>UNICEF, 2017</w:t>
      </w:r>
    </w:p>
  </w:footnote>
  <w:footnote w:id="98">
    <w:p w:rsidR="00CB1C31" w:rsidRDefault="00CB1C31">
      <w:pPr>
        <w:pStyle w:val="FootnoteText"/>
      </w:pPr>
      <w:r>
        <w:rPr>
          <w:rStyle w:val="FootnoteReference"/>
        </w:rPr>
        <w:footnoteRef/>
      </w:r>
      <w:r>
        <w:t xml:space="preserve"> </w:t>
      </w:r>
      <w:hyperlink w:anchor="_ENREF_71" w:tooltip="WHO, 2011 #21" w:history="1">
        <w:r>
          <w:rPr>
            <w:noProof/>
          </w:rPr>
          <w:t>WHO, 2011a</w:t>
        </w:r>
      </w:hyperlink>
      <w:r>
        <w:rPr>
          <w:noProof/>
        </w:rPr>
        <w:t xml:space="preserve">, </w:t>
      </w:r>
      <w:hyperlink w:anchor="_ENREF_72" w:tooltip="WHO, 2011 #20" w:history="1">
        <w:r>
          <w:rPr>
            <w:noProof/>
          </w:rPr>
          <w:t>2011b</w:t>
        </w:r>
      </w:hyperlink>
    </w:p>
  </w:footnote>
  <w:footnote w:id="99">
    <w:p w:rsidR="00CB1C31" w:rsidRDefault="00CB1C31">
      <w:pPr>
        <w:pStyle w:val="FootnoteText"/>
      </w:pPr>
      <w:r>
        <w:rPr>
          <w:rStyle w:val="FootnoteReference"/>
        </w:rPr>
        <w:footnoteRef/>
      </w:r>
      <w:r>
        <w:t xml:space="preserve"> </w:t>
      </w:r>
      <w:hyperlink w:anchor="_ENREF_62" w:tooltip="UNICEF, 2017 #34" w:history="1">
        <w:r>
          <w:rPr>
            <w:noProof/>
          </w:rPr>
          <w:t>ie. UNICEF, 2017</w:t>
        </w:r>
      </w:hyperlink>
    </w:p>
  </w:footnote>
  <w:footnote w:id="100">
    <w:p w:rsidR="00CB1C31" w:rsidRPr="00CB5E10" w:rsidRDefault="00CB1C31" w:rsidP="003665E6">
      <w:pPr>
        <w:rPr>
          <w:rFonts w:ascii="Arial Narrow" w:hAnsi="Arial Narrow"/>
        </w:rPr>
      </w:pPr>
      <w:r>
        <w:rPr>
          <w:rStyle w:val="FootnoteReference"/>
        </w:rPr>
        <w:footnoteRef/>
      </w:r>
      <w:r>
        <w:t xml:space="preserve"> </w:t>
      </w:r>
      <w:r w:rsidRPr="00CB5E10">
        <w:rPr>
          <w:rFonts w:ascii="Arial Narrow" w:hAnsi="Arial Narrow"/>
          <w:noProof/>
        </w:rPr>
        <w:t>Australian Red Cross, 2014, p. 8</w:t>
      </w:r>
    </w:p>
    <w:p w:rsidR="00CB1C31" w:rsidRPr="00F4502F" w:rsidRDefault="00CB1C31">
      <w:pPr>
        <w:pStyle w:val="FootnoteText"/>
      </w:pPr>
    </w:p>
  </w:footnote>
  <w:footnote w:id="101">
    <w:p w:rsidR="00CB1C31" w:rsidRPr="00F4502F" w:rsidRDefault="00CB1C31" w:rsidP="003665E6">
      <w:pPr>
        <w:pStyle w:val="FootnoteText"/>
        <w:rPr>
          <w:noProof/>
        </w:rPr>
      </w:pPr>
      <w:r>
        <w:rPr>
          <w:rStyle w:val="FootnoteReference"/>
        </w:rPr>
        <w:footnoteRef/>
      </w:r>
      <w:r>
        <w:t xml:space="preserve"> </w:t>
      </w:r>
      <w:r w:rsidRPr="009C6C93">
        <w:rPr>
          <w:noProof/>
        </w:rPr>
        <w:t>UNICEF, 2017, p. 2</w:t>
      </w:r>
    </w:p>
  </w:footnote>
  <w:footnote w:id="102">
    <w:p w:rsidR="00CB1C31" w:rsidRPr="009C6C93" w:rsidRDefault="00CB1C31">
      <w:pPr>
        <w:pStyle w:val="FootnoteText"/>
      </w:pPr>
      <w:r>
        <w:rPr>
          <w:rStyle w:val="FootnoteReference"/>
        </w:rPr>
        <w:footnoteRef/>
      </w:r>
      <w:r>
        <w:t xml:space="preserve"> </w:t>
      </w:r>
      <w:r w:rsidRPr="00F4502F">
        <w:rPr>
          <w:noProof/>
        </w:rPr>
        <w:t>UNICEF, 2017, p. 34</w:t>
      </w:r>
    </w:p>
  </w:footnote>
  <w:footnote w:id="103">
    <w:p w:rsidR="00CB1C31" w:rsidRPr="009C6C93" w:rsidRDefault="00CB1C31" w:rsidP="003665E6">
      <w:pPr>
        <w:pStyle w:val="FootnoteText"/>
        <w:rPr>
          <w:noProof/>
        </w:rPr>
      </w:pPr>
      <w:r>
        <w:rPr>
          <w:rStyle w:val="FootnoteReference"/>
        </w:rPr>
        <w:footnoteRef/>
      </w:r>
      <w:r>
        <w:t xml:space="preserve"> </w:t>
      </w:r>
      <w:r w:rsidRPr="009C6C93">
        <w:rPr>
          <w:noProof/>
        </w:rPr>
        <w:t>AusAid, 2015, p. 11</w:t>
      </w:r>
    </w:p>
  </w:footnote>
  <w:footnote w:id="104">
    <w:p w:rsidR="00CB1C31" w:rsidRDefault="00CB1C31">
      <w:pPr>
        <w:pStyle w:val="FootnoteText"/>
      </w:pPr>
      <w:r>
        <w:rPr>
          <w:rStyle w:val="FootnoteReference"/>
        </w:rPr>
        <w:footnoteRef/>
      </w:r>
      <w:r>
        <w:t xml:space="preserve"> </w:t>
      </w:r>
      <w:hyperlink w:anchor="_ENREF_14" w:tooltip="Clegg, 2017 #37" w:history="1">
        <w:r>
          <w:rPr>
            <w:noProof/>
          </w:rPr>
          <w:t>Clegg &amp; Bigby, 2017</w:t>
        </w:r>
      </w:hyperlink>
      <w:r>
        <w:rPr>
          <w:noProof/>
        </w:rPr>
        <w:t xml:space="preserve">; </w:t>
      </w:r>
      <w:hyperlink w:anchor="_ENREF_32" w:tooltip="Klynman, 2007 #72" w:history="1">
        <w:r>
          <w:rPr>
            <w:noProof/>
          </w:rPr>
          <w:t>Klynman et al., 2007</w:t>
        </w:r>
      </w:hyperlink>
      <w:r>
        <w:rPr>
          <w:noProof/>
        </w:rPr>
        <w:t xml:space="preserve">; </w:t>
      </w:r>
      <w:hyperlink w:anchor="_ENREF_47" w:tooltip="Rohwerder, 2013 #2" w:history="1">
        <w:r>
          <w:rPr>
            <w:noProof/>
          </w:rPr>
          <w:t>Rohwerder, 2013</w:t>
        </w:r>
      </w:hyperlink>
      <w:r>
        <w:rPr>
          <w:noProof/>
        </w:rPr>
        <w:t xml:space="preserve">; </w:t>
      </w:r>
      <w:hyperlink w:anchor="_ENREF_59" w:tooltip="Twigg, 2015 #98" w:history="1">
        <w:r>
          <w:rPr>
            <w:noProof/>
          </w:rPr>
          <w:t>Twigg, 2015</w:t>
        </w:r>
      </w:hyperlink>
    </w:p>
  </w:footnote>
  <w:footnote w:id="105">
    <w:p w:rsidR="00CB1C31" w:rsidRDefault="00CB1C31">
      <w:pPr>
        <w:pStyle w:val="FootnoteText"/>
      </w:pPr>
      <w:r>
        <w:rPr>
          <w:rStyle w:val="FootnoteReference"/>
        </w:rPr>
        <w:footnoteRef/>
      </w:r>
      <w:r>
        <w:t xml:space="preserve"> </w:t>
      </w:r>
      <w:hyperlink w:anchor="_ENREF_20" w:tooltip="Giacaman, 2011 #64" w:history="1">
        <w:r>
          <w:rPr>
            <w:noProof/>
          </w:rPr>
          <w:t>Giacaman et al., 2011</w:t>
        </w:r>
      </w:hyperlink>
    </w:p>
  </w:footnote>
  <w:footnote w:id="106">
    <w:p w:rsidR="00CB1C31" w:rsidRDefault="00CB1C31">
      <w:pPr>
        <w:pStyle w:val="FootnoteText"/>
      </w:pPr>
      <w:r>
        <w:rPr>
          <w:rStyle w:val="FootnoteReference"/>
        </w:rPr>
        <w:footnoteRef/>
      </w:r>
      <w:r>
        <w:t xml:space="preserve"> </w:t>
      </w:r>
      <w:hyperlink w:anchor="_ENREF_73" w:tooltip="WHO, 2013 #63" w:history="1">
        <w:r>
          <w:rPr>
            <w:noProof/>
          </w:rPr>
          <w:t>WHO, 2013</w:t>
        </w:r>
      </w:hyperlink>
    </w:p>
  </w:footnote>
  <w:footnote w:id="107">
    <w:p w:rsidR="00CB1C31" w:rsidRDefault="00CB1C31">
      <w:pPr>
        <w:pStyle w:val="FootnoteText"/>
      </w:pPr>
      <w:r>
        <w:rPr>
          <w:rStyle w:val="FootnoteReference"/>
        </w:rPr>
        <w:footnoteRef/>
      </w:r>
      <w:r>
        <w:t xml:space="preserve"> </w:t>
      </w:r>
      <w:hyperlink w:anchor="_ENREF_71" w:tooltip="WHO, 2011 #21" w:history="1">
        <w:r>
          <w:rPr>
            <w:noProof/>
          </w:rPr>
          <w:t>WHO, 2011a</w:t>
        </w:r>
      </w:hyperlink>
    </w:p>
  </w:footnote>
  <w:footnote w:id="108">
    <w:p w:rsidR="00CB1C31" w:rsidRPr="009C6C93" w:rsidRDefault="00CB1C31" w:rsidP="003665E6">
      <w:pPr>
        <w:pStyle w:val="FootnoteText"/>
        <w:rPr>
          <w:lang w:val="en-US"/>
        </w:rPr>
      </w:pPr>
      <w:r>
        <w:rPr>
          <w:rStyle w:val="FootnoteReference"/>
        </w:rPr>
        <w:footnoteRef/>
      </w:r>
      <w:r>
        <w:t xml:space="preserve"> </w:t>
      </w:r>
      <w:r>
        <w:rPr>
          <w:noProof/>
        </w:rPr>
        <w:t>Twigg, 2015</w:t>
      </w:r>
    </w:p>
  </w:footnote>
  <w:footnote w:id="109">
    <w:p w:rsidR="00CB1C31" w:rsidRDefault="00CB1C31">
      <w:pPr>
        <w:pStyle w:val="FootnoteText"/>
      </w:pPr>
      <w:r>
        <w:rPr>
          <w:rStyle w:val="FootnoteReference"/>
        </w:rPr>
        <w:footnoteRef/>
      </w:r>
      <w:r>
        <w:t xml:space="preserve"> </w:t>
      </w:r>
      <w:hyperlink w:anchor="_ENREF_15" w:tooltip="Coe, 2012 #58" w:history="1">
        <w:r>
          <w:rPr>
            <w:noProof/>
          </w:rPr>
          <w:t>Coe, 2012</w:t>
        </w:r>
      </w:hyperlink>
    </w:p>
  </w:footnote>
  <w:footnote w:id="110">
    <w:p w:rsidR="00CB1C31" w:rsidRDefault="00CB1C31" w:rsidP="003665E6">
      <w:pPr>
        <w:pStyle w:val="FootnoteText"/>
      </w:pPr>
      <w:r>
        <w:rPr>
          <w:rStyle w:val="FootnoteReference"/>
        </w:rPr>
        <w:footnoteRef/>
      </w:r>
      <w:r>
        <w:t xml:space="preserve"> </w:t>
      </w:r>
      <w:r>
        <w:rPr>
          <w:noProof/>
        </w:rPr>
        <w:t>Berghs &amp; Kabbara, 2016; Herr et al., 2003; Klynman et al., 2007</w:t>
      </w:r>
    </w:p>
  </w:footnote>
  <w:footnote w:id="111">
    <w:p w:rsidR="00CB1C31" w:rsidRDefault="00CB1C31">
      <w:pPr>
        <w:pStyle w:val="FootnoteText"/>
      </w:pPr>
      <w:r>
        <w:rPr>
          <w:rStyle w:val="FootnoteReference"/>
        </w:rPr>
        <w:footnoteRef/>
      </w:r>
      <w:r>
        <w:t xml:space="preserve"> </w:t>
      </w:r>
      <w:hyperlink w:anchor="_ENREF_47" w:tooltip="Rohwerder, 2013 #2" w:history="1">
        <w:r>
          <w:rPr>
            <w:noProof/>
          </w:rPr>
          <w:t>Rohwerder, 2013</w:t>
        </w:r>
      </w:hyperlink>
      <w:r>
        <w:rPr>
          <w:noProof/>
        </w:rPr>
        <w:t xml:space="preserve">; </w:t>
      </w:r>
      <w:hyperlink w:anchor="_ENREF_66" w:tooltip="United Nations University, 2014 #60" w:history="1">
        <w:r>
          <w:rPr>
            <w:noProof/>
          </w:rPr>
          <w:t>United Nations University, 2014</w:t>
        </w:r>
      </w:hyperlink>
      <w:r>
        <w:rPr>
          <w:noProof/>
        </w:rPr>
        <w:t xml:space="preserve">; </w:t>
      </w:r>
      <w:hyperlink w:anchor="_ENREF_77" w:tooltip="World Health Organization, 2007 #11" w:history="1">
        <w:r>
          <w:rPr>
            <w:noProof/>
          </w:rPr>
          <w:t>World Health Organization, 2007</w:t>
        </w:r>
      </w:hyperlink>
    </w:p>
  </w:footnote>
  <w:footnote w:id="112">
    <w:p w:rsidR="00CB1C31" w:rsidRDefault="00CB1C31">
      <w:pPr>
        <w:pStyle w:val="FootnoteText"/>
      </w:pPr>
      <w:r>
        <w:rPr>
          <w:rStyle w:val="FootnoteReference"/>
        </w:rPr>
        <w:footnoteRef/>
      </w:r>
      <w:r>
        <w:t xml:space="preserve"> </w:t>
      </w:r>
      <w:hyperlink w:anchor="_ENREF_32" w:tooltip="Klynman, 2007 #72" w:history="1">
        <w:r>
          <w:rPr>
            <w:noProof/>
          </w:rPr>
          <w:t>Klynman et al., 2007</w:t>
        </w:r>
      </w:hyperlink>
      <w:r>
        <w:rPr>
          <w:noProof/>
        </w:rPr>
        <w:t xml:space="preserve">; </w:t>
      </w:r>
      <w:hyperlink w:anchor="_ENREF_40" w:tooltip="Mitchell, 2014 #32" w:history="1">
        <w:r>
          <w:rPr>
            <w:noProof/>
          </w:rPr>
          <w:t>Mitchell, 2014</w:t>
        </w:r>
      </w:hyperlink>
      <w:r>
        <w:rPr>
          <w:noProof/>
        </w:rPr>
        <w:t xml:space="preserve">; </w:t>
      </w:r>
      <w:hyperlink w:anchor="_ENREF_47" w:tooltip="Rohwerder, 2013 #2" w:history="1">
        <w:r>
          <w:rPr>
            <w:noProof/>
          </w:rPr>
          <w:t>Rohwerder, 2013</w:t>
        </w:r>
      </w:hyperlink>
    </w:p>
  </w:footnote>
  <w:footnote w:id="113">
    <w:p w:rsidR="00CB1C31" w:rsidRDefault="00CB1C31">
      <w:pPr>
        <w:pStyle w:val="FootnoteText"/>
      </w:pPr>
      <w:r>
        <w:rPr>
          <w:rStyle w:val="FootnoteReference"/>
        </w:rPr>
        <w:footnoteRef/>
      </w:r>
      <w:r>
        <w:t xml:space="preserve"> </w:t>
      </w:r>
      <w:hyperlink w:anchor="_ENREF_14" w:tooltip="Clegg, 2017 #37" w:history="1">
        <w:r>
          <w:rPr>
            <w:noProof/>
          </w:rPr>
          <w:t>Clegg &amp; Bigby, 2017</w:t>
        </w:r>
      </w:hyperlink>
      <w:r>
        <w:rPr>
          <w:noProof/>
        </w:rPr>
        <w:t xml:space="preserve">; </w:t>
      </w:r>
      <w:hyperlink w:anchor="_ENREF_32" w:tooltip="Klynman, 2007 #72" w:history="1">
        <w:r>
          <w:rPr>
            <w:noProof/>
          </w:rPr>
          <w:t>Klynman et al., 2007</w:t>
        </w:r>
      </w:hyperlink>
      <w:r>
        <w:rPr>
          <w:noProof/>
        </w:rPr>
        <w:t xml:space="preserve">; </w:t>
      </w:r>
      <w:hyperlink w:anchor="_ENREF_40" w:tooltip="Mitchell, 2014 #32" w:history="1">
        <w:r>
          <w:rPr>
            <w:noProof/>
          </w:rPr>
          <w:t>Mitchell, 2014</w:t>
        </w:r>
      </w:hyperlink>
      <w:r>
        <w:rPr>
          <w:noProof/>
        </w:rPr>
        <w:t xml:space="preserve">; </w:t>
      </w:r>
      <w:hyperlink w:anchor="_ENREF_59" w:tooltip="Twigg, 2015 #98" w:history="1">
        <w:r>
          <w:rPr>
            <w:noProof/>
          </w:rPr>
          <w:t>Twigg, 2015</w:t>
        </w:r>
      </w:hyperlink>
    </w:p>
  </w:footnote>
  <w:footnote w:id="114">
    <w:p w:rsidR="00CB1C31" w:rsidRDefault="00CB1C31">
      <w:pPr>
        <w:pStyle w:val="FootnoteText"/>
      </w:pPr>
      <w:r>
        <w:rPr>
          <w:rStyle w:val="FootnoteReference"/>
        </w:rPr>
        <w:footnoteRef/>
      </w:r>
      <w:r>
        <w:t xml:space="preserve"> </w:t>
      </w:r>
      <w:hyperlink w:anchor="_ENREF_26" w:tooltip="Herr, 2003 #56" w:history="1">
        <w:r>
          <w:rPr>
            <w:noProof/>
          </w:rPr>
          <w:t>Herr et al., 2003</w:t>
        </w:r>
      </w:hyperlink>
      <w:r>
        <w:rPr>
          <w:noProof/>
        </w:rPr>
        <w:t xml:space="preserve">; </w:t>
      </w:r>
      <w:hyperlink w:anchor="_ENREF_47" w:tooltip="Rohwerder, 2013 #2" w:history="1">
        <w:r>
          <w:rPr>
            <w:noProof/>
          </w:rPr>
          <w:t>Rohwerder, 2013</w:t>
        </w:r>
      </w:hyperlink>
    </w:p>
  </w:footnote>
  <w:footnote w:id="115">
    <w:p w:rsidR="00CB1C31" w:rsidRDefault="00CB1C31" w:rsidP="003665E6">
      <w:pPr>
        <w:pStyle w:val="FootnoteText"/>
      </w:pPr>
      <w:r>
        <w:rPr>
          <w:rStyle w:val="FootnoteReference"/>
        </w:rPr>
        <w:footnoteRef/>
      </w:r>
      <w:r>
        <w:t xml:space="preserve"> </w:t>
      </w:r>
      <w:hyperlink w:anchor="_ENREF_26" w:tooltip="Herr, 2003 #56" w:history="1">
        <w:r>
          <w:rPr>
            <w:noProof/>
            <w:szCs w:val="24"/>
          </w:rPr>
          <w:t>Herr et al., 2003</w:t>
        </w:r>
      </w:hyperlink>
      <w:r>
        <w:rPr>
          <w:noProof/>
          <w:szCs w:val="24"/>
        </w:rPr>
        <w:t xml:space="preserve">; </w:t>
      </w:r>
      <w:hyperlink w:anchor="_ENREF_40" w:tooltip="Mitchell, 2014 #32" w:history="1">
        <w:r>
          <w:rPr>
            <w:noProof/>
            <w:szCs w:val="24"/>
          </w:rPr>
          <w:t>Mitchell, 2014</w:t>
        </w:r>
      </w:hyperlink>
    </w:p>
  </w:footnote>
  <w:footnote w:id="116">
    <w:p w:rsidR="00CB1C31" w:rsidRDefault="00CB1C31">
      <w:pPr>
        <w:pStyle w:val="FootnoteText"/>
      </w:pPr>
      <w:r>
        <w:rPr>
          <w:rStyle w:val="FootnoteReference"/>
        </w:rPr>
        <w:footnoteRef/>
      </w:r>
      <w:r>
        <w:t xml:space="preserve"> </w:t>
      </w:r>
      <w:hyperlink w:anchor="_ENREF_26" w:tooltip="Herr, 2003 #56" w:history="1">
        <w:r>
          <w:rPr>
            <w:noProof/>
          </w:rPr>
          <w:t>Herr et al., 2003</w:t>
        </w:r>
      </w:hyperlink>
      <w:r>
        <w:rPr>
          <w:noProof/>
        </w:rPr>
        <w:t xml:space="preserve">; </w:t>
      </w:r>
      <w:hyperlink w:anchor="_ENREF_30" w:tooltip="Irish Aid, 2011 #81" w:history="1">
        <w:r>
          <w:rPr>
            <w:noProof/>
          </w:rPr>
          <w:t>Irish Aid, 2011</w:t>
        </w:r>
      </w:hyperlink>
      <w:r>
        <w:rPr>
          <w:noProof/>
        </w:rPr>
        <w:t xml:space="preserve">; </w:t>
      </w:r>
      <w:hyperlink w:anchor="_ENREF_71" w:tooltip="WHO, 2011 #21" w:history="1">
        <w:r>
          <w:rPr>
            <w:noProof/>
          </w:rPr>
          <w:t>WHO, 2011a</w:t>
        </w:r>
      </w:hyperlink>
    </w:p>
  </w:footnote>
  <w:footnote w:id="117">
    <w:p w:rsidR="00CB1C31" w:rsidRPr="009C6C93" w:rsidRDefault="00CB1C31" w:rsidP="003665E6">
      <w:pPr>
        <w:pStyle w:val="FootnoteText"/>
        <w:rPr>
          <w:lang w:val="en-US"/>
        </w:rPr>
      </w:pPr>
      <w:r>
        <w:rPr>
          <w:rStyle w:val="FootnoteReference"/>
        </w:rPr>
        <w:footnoteRef/>
      </w:r>
      <w:r>
        <w:t xml:space="preserve"> </w:t>
      </w:r>
      <w:r>
        <w:rPr>
          <w:noProof/>
        </w:rPr>
        <w:t>Clegg and Bigby, 2017</w:t>
      </w:r>
    </w:p>
  </w:footnote>
  <w:footnote w:id="118">
    <w:p w:rsidR="00CB1C31" w:rsidRPr="009C6C93" w:rsidRDefault="00CB1C31" w:rsidP="003665E6">
      <w:pPr>
        <w:pStyle w:val="FootnoteText"/>
        <w:rPr>
          <w:lang w:val="en-US"/>
        </w:rPr>
      </w:pPr>
      <w:r>
        <w:rPr>
          <w:rStyle w:val="FootnoteReference"/>
        </w:rPr>
        <w:footnoteRef/>
      </w:r>
      <w:r>
        <w:t xml:space="preserve"> </w:t>
      </w:r>
      <w:r>
        <w:rPr>
          <w:noProof/>
        </w:rPr>
        <w:t>Mohanraj, 2014</w:t>
      </w:r>
    </w:p>
  </w:footnote>
  <w:footnote w:id="119">
    <w:p w:rsidR="00CB1C31" w:rsidRDefault="00CB1C31">
      <w:pPr>
        <w:pStyle w:val="FootnoteText"/>
      </w:pPr>
      <w:r>
        <w:rPr>
          <w:rStyle w:val="FootnoteReference"/>
        </w:rPr>
        <w:footnoteRef/>
      </w:r>
      <w:r>
        <w:t xml:space="preserve"> </w:t>
      </w:r>
      <w:hyperlink w:anchor="_ENREF_47" w:tooltip="Rohwerder, 2013 #2" w:history="1">
        <w:r>
          <w:rPr>
            <w:noProof/>
          </w:rPr>
          <w:t>Rohwerder, 2013</w:t>
        </w:r>
      </w:hyperlink>
    </w:p>
  </w:footnote>
  <w:footnote w:id="120">
    <w:p w:rsidR="00CB1C31" w:rsidRPr="009C6C93" w:rsidRDefault="00CB1C31" w:rsidP="003665E6">
      <w:pPr>
        <w:pStyle w:val="FootnoteText"/>
      </w:pPr>
      <w:r>
        <w:rPr>
          <w:rStyle w:val="FootnoteReference"/>
        </w:rPr>
        <w:footnoteRef/>
      </w:r>
      <w:r>
        <w:t xml:space="preserve"> </w:t>
      </w:r>
      <w:r>
        <w:rPr>
          <w:noProof/>
        </w:rPr>
        <w:t>Clegg and Bigby, 2017</w:t>
      </w:r>
      <w:r>
        <w:t xml:space="preserve"> p.89</w:t>
      </w:r>
    </w:p>
  </w:footnote>
  <w:footnote w:id="121">
    <w:p w:rsidR="00CB1C31" w:rsidRDefault="00CB1C31">
      <w:pPr>
        <w:pStyle w:val="FootnoteText"/>
      </w:pPr>
      <w:r>
        <w:rPr>
          <w:rStyle w:val="FootnoteReference"/>
        </w:rPr>
        <w:footnoteRef/>
      </w:r>
      <w:r>
        <w:t xml:space="preserve"> </w:t>
      </w:r>
      <w:hyperlink w:anchor="_ENREF_46" w:tooltip="Red Cross and Red Crescent, 2011 #31" w:history="1">
        <w:r>
          <w:rPr>
            <w:noProof/>
          </w:rPr>
          <w:t>Red Cross and Red Crescent, 2011</w:t>
        </w:r>
      </w:hyperlink>
    </w:p>
  </w:footnote>
  <w:footnote w:id="122">
    <w:p w:rsidR="00CB1C31" w:rsidRDefault="00CB1C31">
      <w:pPr>
        <w:pStyle w:val="FootnoteText"/>
      </w:pPr>
      <w:r>
        <w:rPr>
          <w:rStyle w:val="FootnoteReference"/>
        </w:rPr>
        <w:footnoteRef/>
      </w:r>
      <w:r>
        <w:t xml:space="preserve"> </w:t>
      </w:r>
      <w:hyperlink w:anchor="_ENREF_5" w:tooltip="Australian Red Cross, 2014 #18" w:history="1">
        <w:r>
          <w:rPr>
            <w:noProof/>
          </w:rPr>
          <w:t>Australian Red Cross, 2014</w:t>
        </w:r>
      </w:hyperlink>
      <w:r>
        <w:rPr>
          <w:noProof/>
        </w:rPr>
        <w:t xml:space="preserve">; </w:t>
      </w:r>
      <w:hyperlink w:anchor="_ENREF_12" w:tooltip="CBM, 2013 #19" w:history="1">
        <w:r>
          <w:rPr>
            <w:noProof/>
          </w:rPr>
          <w:t>CBM, 2013</w:t>
        </w:r>
      </w:hyperlink>
      <w:r>
        <w:rPr>
          <w:noProof/>
        </w:rPr>
        <w:t xml:space="preserve">; </w:t>
      </w:r>
      <w:hyperlink w:anchor="_ENREF_16" w:tooltip="Collinson, 2015 #35" w:history="1">
        <w:r>
          <w:rPr>
            <w:noProof/>
          </w:rPr>
          <w:t>Collinson, 2015</w:t>
        </w:r>
      </w:hyperlink>
      <w:r>
        <w:rPr>
          <w:noProof/>
        </w:rPr>
        <w:t xml:space="preserve">; </w:t>
      </w:r>
      <w:hyperlink w:anchor="_ENREF_19" w:tooltip="GAATES,  #22" w:history="1">
        <w:r>
          <w:rPr>
            <w:noProof/>
          </w:rPr>
          <w:t>GAATES</w:t>
        </w:r>
      </w:hyperlink>
      <w:r>
        <w:rPr>
          <w:noProof/>
        </w:rPr>
        <w:t xml:space="preserve">; </w:t>
      </w:r>
      <w:hyperlink w:anchor="_ENREF_46" w:tooltip="Red Cross and Red Crescent, 2011 #31" w:history="1">
        <w:r>
          <w:rPr>
            <w:noProof/>
          </w:rPr>
          <w:t>Red Cross and Red Crescent, 2011</w:t>
        </w:r>
      </w:hyperlink>
    </w:p>
  </w:footnote>
  <w:footnote w:id="123">
    <w:p w:rsidR="00CB1C31" w:rsidRPr="009C6C93" w:rsidRDefault="00CB1C31" w:rsidP="003665E6">
      <w:pPr>
        <w:pStyle w:val="FootnoteText"/>
      </w:pPr>
      <w:r>
        <w:rPr>
          <w:rStyle w:val="FootnoteReference"/>
        </w:rPr>
        <w:footnoteRef/>
      </w:r>
      <w:r>
        <w:t xml:space="preserve"> </w:t>
      </w:r>
      <w:r>
        <w:rPr>
          <w:noProof/>
        </w:rPr>
        <w:t>Abed et al., 2010; Rohwerder, 2013</w:t>
      </w:r>
    </w:p>
  </w:footnote>
  <w:footnote w:id="124">
    <w:p w:rsidR="00CB1C31" w:rsidRDefault="00CB1C31" w:rsidP="003665E6">
      <w:pPr>
        <w:pStyle w:val="FootnoteText"/>
      </w:pPr>
      <w:r>
        <w:rPr>
          <w:rStyle w:val="FootnoteReference"/>
        </w:rPr>
        <w:footnoteRef/>
      </w:r>
      <w:r>
        <w:t xml:space="preserve"> </w:t>
      </w:r>
      <w:hyperlink w:anchor="_ENREF_65" w:tooltip="UNISDR, 2013 #105" w:history="1">
        <w:r>
          <w:rPr>
            <w:noProof/>
          </w:rPr>
          <w:t>Margareta Wahlström as cited in UNISDR, 2013</w:t>
        </w:r>
      </w:hyperlink>
    </w:p>
  </w:footnote>
  <w:footnote w:id="125">
    <w:p w:rsidR="00CB1C31" w:rsidRDefault="00CB1C31">
      <w:pPr>
        <w:pStyle w:val="FootnoteText"/>
      </w:pPr>
      <w:r>
        <w:rPr>
          <w:rStyle w:val="FootnoteReference"/>
        </w:rPr>
        <w:footnoteRef/>
      </w:r>
      <w:r>
        <w:t xml:space="preserve"> </w:t>
      </w:r>
      <w:hyperlink w:anchor="_ENREF_12" w:tooltip="CBM, 2013 #19" w:history="1">
        <w:r>
          <w:rPr>
            <w:noProof/>
          </w:rPr>
          <w:t>CBM, 2013</w:t>
        </w:r>
      </w:hyperlink>
      <w:r>
        <w:rPr>
          <w:noProof/>
        </w:rPr>
        <w:t xml:space="preserve">; </w:t>
      </w:r>
      <w:hyperlink w:anchor="_ENREF_16" w:tooltip="Collinson, 2015 #35" w:history="1">
        <w:r>
          <w:rPr>
            <w:noProof/>
          </w:rPr>
          <w:t>Collinson, 2015</w:t>
        </w:r>
      </w:hyperlink>
      <w:r>
        <w:rPr>
          <w:noProof/>
        </w:rPr>
        <w:t xml:space="preserve">; </w:t>
      </w:r>
      <w:hyperlink w:anchor="_ENREF_53" w:tooltip="Scior, 2015 #36" w:history="1">
        <w:r>
          <w:rPr>
            <w:noProof/>
          </w:rPr>
          <w:t>Scior et al., 2015</w:t>
        </w:r>
      </w:hyperlink>
      <w:r>
        <w:rPr>
          <w:noProof/>
        </w:rPr>
        <w:t xml:space="preserve">; </w:t>
      </w:r>
      <w:hyperlink w:anchor="_ENREF_71" w:tooltip="WHO, 2011 #21" w:history="1">
        <w:r>
          <w:rPr>
            <w:noProof/>
          </w:rPr>
          <w:t>WHO, 2011a</w:t>
        </w:r>
      </w:hyperlink>
      <w:r>
        <w:rPr>
          <w:noProof/>
        </w:rPr>
        <w:t xml:space="preserve">, </w:t>
      </w:r>
      <w:hyperlink w:anchor="_ENREF_72" w:tooltip="WHO, 2011 #20" w:history="1">
        <w:r>
          <w:rPr>
            <w:noProof/>
          </w:rPr>
          <w:t>2011b</w:t>
        </w:r>
      </w:hyperlink>
      <w:r>
        <w:rPr>
          <w:noProof/>
        </w:rPr>
        <w:t xml:space="preserve">; </w:t>
      </w:r>
      <w:hyperlink w:anchor="_ENREF_74" w:tooltip="WHO IASC, 2007 #87" w:history="1">
        <w:r>
          <w:rPr>
            <w:noProof/>
          </w:rPr>
          <w:t>WHO IASC, 2007</w:t>
        </w:r>
      </w:hyperlink>
    </w:p>
  </w:footnote>
  <w:footnote w:id="126">
    <w:p w:rsidR="00CB1C31" w:rsidRDefault="00CB1C31" w:rsidP="003665E6">
      <w:pPr>
        <w:pStyle w:val="FootnoteText"/>
      </w:pPr>
      <w:r>
        <w:rPr>
          <w:rStyle w:val="FootnoteReference"/>
        </w:rPr>
        <w:footnoteRef/>
      </w:r>
      <w:r>
        <w:t xml:space="preserve"> </w:t>
      </w:r>
      <w:r>
        <w:rPr>
          <w:noProof/>
        </w:rPr>
        <w:t>Van Ommeren, 2014</w:t>
      </w:r>
    </w:p>
  </w:footnote>
  <w:footnote w:id="127">
    <w:p w:rsidR="00CB1C31" w:rsidRDefault="00CB1C31">
      <w:pPr>
        <w:pStyle w:val="FootnoteText"/>
      </w:pPr>
      <w:r>
        <w:rPr>
          <w:rStyle w:val="FootnoteReference"/>
        </w:rPr>
        <w:footnoteRef/>
      </w:r>
      <w:r>
        <w:t xml:space="preserve"> </w:t>
      </w:r>
      <w:hyperlink w:anchor="_ENREF_48" w:tooltip="Rohwerder, 2015 #1" w:history="1">
        <w:r>
          <w:rPr>
            <w:noProof/>
          </w:rPr>
          <w:t>Rohwerder, 2015</w:t>
        </w:r>
      </w:hyperlink>
      <w:r>
        <w:rPr>
          <w:noProof/>
        </w:rPr>
        <w:t xml:space="preserve">; </w:t>
      </w:r>
      <w:hyperlink w:anchor="_ENREF_56" w:tooltip="Smith, 2012 #69" w:history="1">
        <w:r>
          <w:rPr>
            <w:noProof/>
          </w:rPr>
          <w:t>Smith, 2012</w:t>
        </w:r>
      </w:hyperlink>
      <w:r>
        <w:rPr>
          <w:noProof/>
        </w:rPr>
        <w:t xml:space="preserve">; </w:t>
      </w:r>
      <w:hyperlink w:anchor="_ENREF_68" w:tooltip="Van Ommeren, 2014 #68" w:history="1">
        <w:r>
          <w:rPr>
            <w:noProof/>
          </w:rPr>
          <w:t>Van Ommeren, 2014</w:t>
        </w:r>
      </w:hyperlink>
      <w:r>
        <w:rPr>
          <w:noProof/>
        </w:rPr>
        <w:t xml:space="preserve">; </w:t>
      </w:r>
      <w:hyperlink w:anchor="_ENREF_75" w:tooltip="World Bank, 2016 #67" w:history="1">
        <w:r>
          <w:rPr>
            <w:noProof/>
          </w:rPr>
          <w:t>World Bank, 2016</w:t>
        </w:r>
      </w:hyperlink>
    </w:p>
  </w:footnote>
  <w:footnote w:id="128">
    <w:p w:rsidR="00CB1C31" w:rsidRDefault="00CB1C31">
      <w:pPr>
        <w:pStyle w:val="FootnoteText"/>
      </w:pPr>
      <w:r>
        <w:rPr>
          <w:rStyle w:val="FootnoteReference"/>
        </w:rPr>
        <w:footnoteRef/>
      </w:r>
      <w:r>
        <w:t xml:space="preserve"> </w:t>
      </w:r>
      <w:hyperlink w:anchor="_ENREF_22" w:tooltip="Greskamp, 2013 #101" w:history="1">
        <w:r>
          <w:rPr>
            <w:noProof/>
          </w:rPr>
          <w:t>Greskamp, 2013</w:t>
        </w:r>
      </w:hyperlink>
    </w:p>
  </w:footnote>
  <w:footnote w:id="129">
    <w:p w:rsidR="00CB1C31" w:rsidRPr="009C6C93" w:rsidRDefault="00CB1C31" w:rsidP="003665E6">
      <w:pPr>
        <w:pStyle w:val="FootnoteText"/>
        <w:rPr>
          <w:lang w:val="en-US"/>
        </w:rPr>
      </w:pPr>
      <w:r>
        <w:rPr>
          <w:rStyle w:val="FootnoteReference"/>
        </w:rPr>
        <w:footnoteRef/>
      </w:r>
      <w:r>
        <w:t xml:space="preserve"> </w:t>
      </w:r>
      <w:r>
        <w:rPr>
          <w:noProof/>
        </w:rPr>
        <w:t>Clegg and Bigby, 2017</w:t>
      </w:r>
    </w:p>
  </w:footnote>
  <w:footnote w:id="130">
    <w:p w:rsidR="00CB1C31" w:rsidRPr="009C6C93" w:rsidRDefault="00CB1C31" w:rsidP="003665E6">
      <w:pPr>
        <w:pStyle w:val="FootnoteText"/>
        <w:rPr>
          <w:lang w:val="en-US"/>
        </w:rPr>
      </w:pPr>
      <w:r>
        <w:rPr>
          <w:rStyle w:val="FootnoteReference"/>
        </w:rPr>
        <w:footnoteRef/>
      </w:r>
      <w:r>
        <w:t xml:space="preserve"> </w:t>
      </w:r>
      <w:r w:rsidRPr="009C6C93">
        <w:rPr>
          <w:noProof/>
        </w:rPr>
        <w:t>UNDESA UNISDR Nippon Foundation</w:t>
      </w:r>
      <w:r>
        <w:rPr>
          <w:rFonts w:ascii="Segoe UI" w:hAnsi="Segoe UI" w:cs="Segoe UI"/>
          <w:color w:val="auto"/>
          <w:sz w:val="18"/>
          <w:szCs w:val="18"/>
          <w:lang w:val="en-NZ"/>
        </w:rPr>
        <w:t xml:space="preserve">, </w:t>
      </w:r>
      <w:r>
        <w:rPr>
          <w:noProof/>
        </w:rPr>
        <w:t>2013</w:t>
      </w:r>
    </w:p>
  </w:footnote>
  <w:footnote w:id="131">
    <w:p w:rsidR="00CB1C31" w:rsidRPr="009C6C93" w:rsidRDefault="00CB1C31" w:rsidP="003665E6">
      <w:pPr>
        <w:textAlignment w:val="baseline"/>
        <w:rPr>
          <w:rFonts w:ascii="Arial Narrow" w:hAnsi="Arial Narrow"/>
        </w:rPr>
      </w:pPr>
      <w:r>
        <w:rPr>
          <w:rStyle w:val="FootnoteReference"/>
        </w:rPr>
        <w:footnoteRef/>
      </w:r>
      <w:r>
        <w:t xml:space="preserve"> </w:t>
      </w:r>
      <w:r w:rsidRPr="00CB5E10">
        <w:rPr>
          <w:rFonts w:ascii="Arial Narrow" w:hAnsi="Arial Narrow"/>
          <w:noProof/>
        </w:rPr>
        <w:t>World Humanitarian Summit, 2016</w:t>
      </w:r>
    </w:p>
  </w:footnote>
  <w:footnote w:id="132">
    <w:p w:rsidR="00CB1C31" w:rsidRDefault="00CB1C31" w:rsidP="003665E6">
      <w:pPr>
        <w:pStyle w:val="FootnoteText"/>
      </w:pPr>
      <w:r>
        <w:rPr>
          <w:rStyle w:val="FootnoteReference"/>
        </w:rPr>
        <w:footnoteRef/>
      </w:r>
      <w:r>
        <w:t xml:space="preserve"> </w:t>
      </w:r>
      <w:r>
        <w:rPr>
          <w:noProof/>
        </w:rPr>
        <w:t>CBM, 2013; Rohwerder, 2013; World Bank, 2016</w:t>
      </w:r>
    </w:p>
  </w:footnote>
  <w:footnote w:id="133">
    <w:p w:rsidR="00CB1C31" w:rsidRDefault="00CB1C31">
      <w:pPr>
        <w:pStyle w:val="FootnoteText"/>
      </w:pPr>
      <w:r>
        <w:rPr>
          <w:rStyle w:val="FootnoteReference"/>
        </w:rPr>
        <w:footnoteRef/>
      </w:r>
      <w:r>
        <w:t xml:space="preserve"> </w:t>
      </w:r>
      <w:hyperlink w:anchor="_ENREF_75" w:tooltip="World Bank, 2016 #67" w:history="1">
        <w:r>
          <w:rPr>
            <w:noProof/>
          </w:rPr>
          <w:t>World Bank, 2016</w:t>
        </w:r>
      </w:hyperlink>
    </w:p>
  </w:footnote>
  <w:footnote w:id="134">
    <w:p w:rsidR="00CB1C31" w:rsidRPr="009C6C93" w:rsidRDefault="00CB1C31" w:rsidP="003665E6">
      <w:pPr>
        <w:pStyle w:val="FootnoteText"/>
        <w:rPr>
          <w:lang w:val="en-US"/>
        </w:rPr>
      </w:pPr>
      <w:r>
        <w:rPr>
          <w:rStyle w:val="FootnoteReference"/>
        </w:rPr>
        <w:footnoteRef/>
      </w:r>
      <w:r>
        <w:t xml:space="preserve"> </w:t>
      </w:r>
      <w:r>
        <w:rPr>
          <w:noProof/>
        </w:rPr>
        <w:t>Burton, Sayrafi, and Srour, 2013</w:t>
      </w:r>
    </w:p>
  </w:footnote>
  <w:footnote w:id="135">
    <w:p w:rsidR="00CB1C31" w:rsidRPr="009C6C93" w:rsidRDefault="00CB1C31">
      <w:pPr>
        <w:pStyle w:val="FootnoteText"/>
        <w:rPr>
          <w:lang w:val="en-US"/>
        </w:rPr>
      </w:pPr>
      <w:r>
        <w:rPr>
          <w:rStyle w:val="FootnoteReference"/>
        </w:rPr>
        <w:footnoteRef/>
      </w:r>
      <w:r>
        <w:t xml:space="preserve"> </w:t>
      </w:r>
      <w:r>
        <w:rPr>
          <w:noProof/>
        </w:rPr>
        <w:t>Scior et al., 2015</w:t>
      </w:r>
    </w:p>
  </w:footnote>
  <w:footnote w:id="136">
    <w:p w:rsidR="00CB1C31" w:rsidRDefault="00CB1C31">
      <w:pPr>
        <w:pStyle w:val="FootnoteText"/>
      </w:pPr>
      <w:r>
        <w:rPr>
          <w:rStyle w:val="FootnoteReference"/>
        </w:rPr>
        <w:footnoteRef/>
      </w:r>
      <w:r>
        <w:t xml:space="preserve"> </w:t>
      </w:r>
      <w:hyperlink w:anchor="_ENREF_47" w:tooltip="Rohwerder, 2013 #2" w:history="1">
        <w:r>
          <w:rPr>
            <w:noProof/>
          </w:rPr>
          <w:t>Rohwerder, 2013</w:t>
        </w:r>
      </w:hyperlink>
    </w:p>
  </w:footnote>
  <w:footnote w:id="137">
    <w:p w:rsidR="00CB1C31" w:rsidRDefault="00CB1C31">
      <w:pPr>
        <w:pStyle w:val="FootnoteText"/>
      </w:pPr>
      <w:r>
        <w:rPr>
          <w:rStyle w:val="FootnoteReference"/>
        </w:rPr>
        <w:footnoteRef/>
      </w:r>
      <w:r>
        <w:t xml:space="preserve"> </w:t>
      </w:r>
      <w:hyperlink w:anchor="_ENREF_14" w:tooltip="Clegg, 2017 #37" w:history="1">
        <w:r>
          <w:rPr>
            <w:noProof/>
          </w:rPr>
          <w:t>Clegg &amp; Bigby, 2017</w:t>
        </w:r>
      </w:hyperlink>
    </w:p>
  </w:footnote>
  <w:footnote w:id="138">
    <w:p w:rsidR="00CB1C31" w:rsidRDefault="00CB1C31">
      <w:pPr>
        <w:pStyle w:val="FootnoteText"/>
      </w:pPr>
      <w:r>
        <w:rPr>
          <w:rStyle w:val="FootnoteReference"/>
        </w:rPr>
        <w:footnoteRef/>
      </w:r>
      <w:r>
        <w:t xml:space="preserve"> </w:t>
      </w:r>
      <w:hyperlink w:anchor="_ENREF_14" w:tooltip="Clegg, 2017 #37" w:history="1">
        <w:r>
          <w:rPr>
            <w:noProof/>
          </w:rPr>
          <w:t>Clegg &amp; Bigby, 2017</w:t>
        </w:r>
      </w:hyperlink>
    </w:p>
  </w:footnote>
  <w:footnote w:id="139">
    <w:p w:rsidR="00CB1C31" w:rsidRPr="009C6C93" w:rsidRDefault="00CB1C31" w:rsidP="003665E6">
      <w:pPr>
        <w:pStyle w:val="FootnoteText"/>
        <w:rPr>
          <w:lang w:val="en-US"/>
        </w:rPr>
      </w:pPr>
      <w:r>
        <w:rPr>
          <w:rStyle w:val="FootnoteReference"/>
        </w:rPr>
        <w:footnoteRef/>
      </w:r>
      <w:r>
        <w:t xml:space="preserve"> </w:t>
      </w:r>
      <w:r>
        <w:rPr>
          <w:noProof/>
        </w:rPr>
        <w:t>Greskamp, 2013</w:t>
      </w:r>
    </w:p>
  </w:footnote>
  <w:footnote w:id="140">
    <w:p w:rsidR="00CB1C31" w:rsidRDefault="00CB1C31" w:rsidP="003665E6">
      <w:pPr>
        <w:pStyle w:val="FootnoteText"/>
      </w:pPr>
      <w:r>
        <w:rPr>
          <w:rStyle w:val="FootnoteReference"/>
        </w:rPr>
        <w:footnoteRef/>
      </w:r>
      <w:r>
        <w:t xml:space="preserve"> </w:t>
      </w:r>
      <w:r>
        <w:rPr>
          <w:noProof/>
          <w:szCs w:val="24"/>
        </w:rPr>
        <w:t>WHO, 2011</w:t>
      </w:r>
    </w:p>
  </w:footnote>
  <w:footnote w:id="141">
    <w:p w:rsidR="00CB1C31" w:rsidRDefault="00CB1C31">
      <w:pPr>
        <w:pStyle w:val="FootnoteText"/>
      </w:pPr>
      <w:r>
        <w:rPr>
          <w:rStyle w:val="FootnoteReference"/>
        </w:rPr>
        <w:footnoteRef/>
      </w:r>
      <w:r>
        <w:t xml:space="preserve"> </w:t>
      </w:r>
      <w:hyperlink w:anchor="_ENREF_71" w:tooltip="WHO, 2011 #21" w:history="1">
        <w:r>
          <w:rPr>
            <w:noProof/>
            <w:szCs w:val="24"/>
          </w:rPr>
          <w:t>WHO, 2011a</w:t>
        </w:r>
      </w:hyperlink>
    </w:p>
  </w:footnote>
  <w:footnote w:id="142">
    <w:p w:rsidR="00CB1C31" w:rsidRPr="009C6C93" w:rsidRDefault="00CB1C31" w:rsidP="003665E6">
      <w:pPr>
        <w:pStyle w:val="FootnoteText"/>
      </w:pPr>
      <w:r>
        <w:rPr>
          <w:rStyle w:val="FootnoteReference"/>
        </w:rPr>
        <w:footnoteRef/>
      </w:r>
      <w:r>
        <w:t xml:space="preserve"> </w:t>
      </w:r>
      <w:r>
        <w:rPr>
          <w:noProof/>
          <w:szCs w:val="24"/>
        </w:rPr>
        <w:t>World Bank, 2016</w:t>
      </w:r>
    </w:p>
  </w:footnote>
  <w:footnote w:id="143">
    <w:p w:rsidR="00CB1C31" w:rsidRDefault="00CB1C31" w:rsidP="003665E6">
      <w:pPr>
        <w:pStyle w:val="FootnoteText"/>
      </w:pPr>
      <w:r>
        <w:rPr>
          <w:rStyle w:val="FootnoteReference"/>
        </w:rPr>
        <w:footnoteRef/>
      </w:r>
      <w:r>
        <w:t xml:space="preserve"> </w:t>
      </w:r>
      <w:hyperlink w:anchor="_ENREF_40" w:tooltip="Mitchell, 2014 #32" w:history="1">
        <w:r>
          <w:rPr>
            <w:noProof/>
            <w:szCs w:val="24"/>
          </w:rPr>
          <w:t>Mitchell, 2014</w:t>
        </w:r>
      </w:hyperlink>
      <w:r>
        <w:rPr>
          <w:noProof/>
          <w:szCs w:val="24"/>
        </w:rPr>
        <w:t xml:space="preserve">; </w:t>
      </w:r>
      <w:hyperlink w:anchor="_ENREF_47" w:tooltip="Rohwerder, 2013 #2" w:history="1">
        <w:r>
          <w:rPr>
            <w:noProof/>
            <w:szCs w:val="24"/>
          </w:rPr>
          <w:t>Rohwerder, 2013</w:t>
        </w:r>
      </w:hyperlink>
      <w:r>
        <w:rPr>
          <w:noProof/>
          <w:szCs w:val="24"/>
        </w:rPr>
        <w:t xml:space="preserve">; </w:t>
      </w:r>
      <w:hyperlink w:anchor="_ENREF_56" w:tooltip="Smith, 2012 #69" w:history="1">
        <w:r>
          <w:rPr>
            <w:noProof/>
            <w:szCs w:val="24"/>
          </w:rPr>
          <w:t>Smith, 2012</w:t>
        </w:r>
      </w:hyperlink>
      <w:r>
        <w:rPr>
          <w:noProof/>
          <w:szCs w:val="24"/>
        </w:rPr>
        <w:t xml:space="preserve">; </w:t>
      </w:r>
      <w:hyperlink w:anchor="_ENREF_68" w:tooltip="Van Ommeren, 2014 #68" w:history="1">
        <w:r>
          <w:rPr>
            <w:noProof/>
            <w:szCs w:val="24"/>
          </w:rPr>
          <w:t>Van Ommeren, 2014</w:t>
        </w:r>
      </w:hyperlink>
      <w:r>
        <w:rPr>
          <w:noProof/>
          <w:szCs w:val="24"/>
        </w:rPr>
        <w:t xml:space="preserve">; </w:t>
      </w:r>
      <w:hyperlink w:anchor="_ENREF_75" w:tooltip="World Bank, 2016 #67" w:history="1">
        <w:r>
          <w:rPr>
            <w:noProof/>
            <w:szCs w:val="24"/>
          </w:rPr>
          <w:t>World Bank, 2016</w:t>
        </w:r>
      </w:hyperlink>
    </w:p>
  </w:footnote>
  <w:footnote w:id="144">
    <w:p w:rsidR="00CB1C31" w:rsidRDefault="00CB1C31" w:rsidP="003665E6">
      <w:pPr>
        <w:pStyle w:val="FootnoteText"/>
      </w:pPr>
      <w:r>
        <w:rPr>
          <w:rStyle w:val="FootnoteReference"/>
        </w:rPr>
        <w:footnoteRef/>
      </w:r>
      <w:r>
        <w:t xml:space="preserve"> </w:t>
      </w:r>
      <w:hyperlink w:anchor="_ENREF_32" w:tooltip="Klynman, 2007 #72" w:history="1">
        <w:r>
          <w:rPr>
            <w:noProof/>
            <w:szCs w:val="24"/>
          </w:rPr>
          <w:t>Klynman et al., 2007</w:t>
        </w:r>
      </w:hyperlink>
    </w:p>
  </w:footnote>
  <w:footnote w:id="145">
    <w:p w:rsidR="00CB1C31" w:rsidRDefault="00CB1C31" w:rsidP="003665E6">
      <w:pPr>
        <w:pStyle w:val="FootnoteText"/>
      </w:pPr>
      <w:r>
        <w:rPr>
          <w:rStyle w:val="FootnoteReference"/>
        </w:rPr>
        <w:footnoteRef/>
      </w:r>
      <w:r>
        <w:t xml:space="preserve"> </w:t>
      </w:r>
      <w:hyperlink w:anchor="_ENREF_10" w:tooltip="Burton, 2013 #102" w:history="1">
        <w:r>
          <w:rPr>
            <w:noProof/>
            <w:szCs w:val="24"/>
          </w:rPr>
          <w:t>Burton et al., 2013</w:t>
        </w:r>
      </w:hyperlink>
    </w:p>
  </w:footnote>
  <w:footnote w:id="146">
    <w:p w:rsidR="00CB1C31" w:rsidRPr="009C6C93" w:rsidRDefault="00CB1C31" w:rsidP="003665E6">
      <w:pPr>
        <w:pStyle w:val="FootnoteText"/>
        <w:rPr>
          <w:lang w:val="en-US"/>
        </w:rPr>
      </w:pPr>
      <w:r>
        <w:rPr>
          <w:rStyle w:val="FootnoteReference"/>
        </w:rPr>
        <w:footnoteRef/>
      </w:r>
      <w:r>
        <w:t xml:space="preserve"> </w:t>
      </w:r>
      <w:r>
        <w:rPr>
          <w:noProof/>
          <w:szCs w:val="24"/>
        </w:rPr>
        <w:t>Abed et al., 2010</w:t>
      </w:r>
    </w:p>
  </w:footnote>
  <w:footnote w:id="147">
    <w:p w:rsidR="00CB1C31" w:rsidRPr="00870C18" w:rsidRDefault="00CB1C31" w:rsidP="003665E6">
      <w:pPr>
        <w:pStyle w:val="FootnoteText"/>
        <w:rPr>
          <w:lang w:val="en-US"/>
        </w:rPr>
      </w:pPr>
      <w:r>
        <w:rPr>
          <w:rStyle w:val="FootnoteReference"/>
        </w:rPr>
        <w:footnoteRef/>
      </w:r>
      <w:r>
        <w:t xml:space="preserve"> </w:t>
      </w:r>
      <w:r>
        <w:rPr>
          <w:noProof/>
          <w:szCs w:val="24"/>
        </w:rPr>
        <w:t>Marie et al., 2016</w:t>
      </w:r>
      <w:r>
        <w:rPr>
          <w:szCs w:val="24"/>
        </w:rPr>
        <w:t>;</w:t>
      </w:r>
      <w:r w:rsidRPr="00870C18">
        <w:rPr>
          <w:szCs w:val="24"/>
        </w:rPr>
        <w:t xml:space="preserve"> </w:t>
      </w:r>
      <w:r>
        <w:rPr>
          <w:noProof/>
          <w:szCs w:val="24"/>
        </w:rPr>
        <w:t>World Bank, 2016</w:t>
      </w:r>
    </w:p>
  </w:footnote>
  <w:footnote w:id="148">
    <w:p w:rsidR="00CB1C31" w:rsidRDefault="00CB1C31">
      <w:pPr>
        <w:pStyle w:val="FootnoteText"/>
      </w:pPr>
      <w:r>
        <w:rPr>
          <w:rStyle w:val="FootnoteReference"/>
        </w:rPr>
        <w:footnoteRef/>
      </w:r>
      <w:r>
        <w:t xml:space="preserve"> </w:t>
      </w:r>
      <w:hyperlink w:anchor="_ENREF_75" w:tooltip="World Bank, 2016 #67" w:history="1">
        <w:r>
          <w:rPr>
            <w:noProof/>
            <w:szCs w:val="24"/>
          </w:rPr>
          <w:t>World Bank, 2016</w:t>
        </w:r>
      </w:hyperlink>
    </w:p>
  </w:footnote>
  <w:footnote w:id="149">
    <w:p w:rsidR="00CB1C31" w:rsidRDefault="00CB1C31" w:rsidP="003665E6">
      <w:pPr>
        <w:pStyle w:val="FootnoteText"/>
      </w:pPr>
      <w:r>
        <w:rPr>
          <w:rStyle w:val="FootnoteReference"/>
        </w:rPr>
        <w:footnoteRef/>
      </w:r>
      <w:r>
        <w:t xml:space="preserve"> </w:t>
      </w:r>
      <w:r>
        <w:rPr>
          <w:noProof/>
          <w:szCs w:val="24"/>
        </w:rPr>
        <w:t>Ronoh et al., 2015; World Bank, 2016</w:t>
      </w:r>
    </w:p>
  </w:footnote>
  <w:footnote w:id="150">
    <w:p w:rsidR="00CB1C31" w:rsidRDefault="00CB1C31">
      <w:pPr>
        <w:pStyle w:val="FootnoteText"/>
      </w:pPr>
      <w:r>
        <w:rPr>
          <w:rStyle w:val="FootnoteReference"/>
        </w:rPr>
        <w:footnoteRef/>
      </w:r>
      <w:r>
        <w:t xml:space="preserve"> </w:t>
      </w:r>
      <w:hyperlink w:anchor="_ENREF_44" w:tooltip="Palestinian Refugee News Network In Lebanon, 2017 #66" w:history="1">
        <w:r>
          <w:rPr>
            <w:noProof/>
            <w:szCs w:val="24"/>
          </w:rPr>
          <w:t>Palestinian Refugee News Network In Lebanon, 2017</w:t>
        </w:r>
      </w:hyperlink>
    </w:p>
  </w:footnote>
  <w:footnote w:id="151">
    <w:p w:rsidR="00CB1C31" w:rsidRDefault="00CB1C31">
      <w:pPr>
        <w:pStyle w:val="FootnoteText"/>
      </w:pPr>
      <w:r>
        <w:rPr>
          <w:rStyle w:val="FootnoteReference"/>
        </w:rPr>
        <w:footnoteRef/>
      </w:r>
      <w:r>
        <w:t xml:space="preserve"> </w:t>
      </w:r>
      <w:hyperlink w:anchor="_ENREF_12" w:tooltip="CBM, 2013 #19" w:history="1">
        <w:r>
          <w:rPr>
            <w:noProof/>
            <w:szCs w:val="24"/>
          </w:rPr>
          <w:t>CBM, 2013</w:t>
        </w:r>
      </w:hyperlink>
      <w:r>
        <w:rPr>
          <w:noProof/>
          <w:szCs w:val="24"/>
        </w:rPr>
        <w:t xml:space="preserve">; </w:t>
      </w:r>
      <w:hyperlink w:anchor="_ENREF_32" w:tooltip="Klynman, 2007 #72" w:history="1">
        <w:r>
          <w:rPr>
            <w:noProof/>
            <w:szCs w:val="24"/>
          </w:rPr>
          <w:t>Klynman et al., 2007</w:t>
        </w:r>
      </w:hyperlink>
    </w:p>
  </w:footnote>
  <w:footnote w:id="152">
    <w:p w:rsidR="00CB1C31" w:rsidRDefault="00CB1C31">
      <w:pPr>
        <w:pStyle w:val="FootnoteText"/>
      </w:pPr>
      <w:r>
        <w:rPr>
          <w:rStyle w:val="FootnoteReference"/>
        </w:rPr>
        <w:footnoteRef/>
      </w:r>
      <w:r>
        <w:t xml:space="preserve"> </w:t>
      </w:r>
      <w:hyperlink w:anchor="_ENREF_10" w:tooltip="Burton, 2013 #102" w:history="1">
        <w:r>
          <w:rPr>
            <w:noProof/>
            <w:szCs w:val="24"/>
          </w:rPr>
          <w:t>Burton et al., 2013</w:t>
        </w:r>
      </w:hyperlink>
      <w:r>
        <w:rPr>
          <w:noProof/>
          <w:szCs w:val="24"/>
        </w:rPr>
        <w:t xml:space="preserve">; </w:t>
      </w:r>
      <w:hyperlink w:anchor="_ENREF_17" w:tooltip="Commission, 2013 #82" w:history="1">
        <w:r>
          <w:rPr>
            <w:noProof/>
            <w:szCs w:val="24"/>
          </w:rPr>
          <w:t>Commission, 2013</w:t>
        </w:r>
      </w:hyperlink>
    </w:p>
  </w:footnote>
  <w:footnote w:id="153">
    <w:p w:rsidR="00CB1C31" w:rsidRDefault="00CB1C31">
      <w:pPr>
        <w:pStyle w:val="FootnoteText"/>
      </w:pPr>
      <w:r>
        <w:rPr>
          <w:rStyle w:val="FootnoteReference"/>
        </w:rPr>
        <w:footnoteRef/>
      </w:r>
      <w:r>
        <w:t xml:space="preserve"> </w:t>
      </w:r>
      <w:hyperlink w:anchor="_ENREF_34" w:tooltip="Llosa, 2014 #76" w:history="1">
        <w:r>
          <w:rPr>
            <w:noProof/>
            <w:szCs w:val="24"/>
          </w:rPr>
          <w:t>Llosa et al., 2014</w:t>
        </w:r>
      </w:hyperlink>
    </w:p>
  </w:footnote>
  <w:footnote w:id="154">
    <w:p w:rsidR="00CB1C31" w:rsidRDefault="00CB1C31">
      <w:pPr>
        <w:pStyle w:val="FootnoteText"/>
      </w:pPr>
      <w:r>
        <w:rPr>
          <w:rStyle w:val="FootnoteReference"/>
        </w:rPr>
        <w:footnoteRef/>
      </w:r>
      <w:r>
        <w:t xml:space="preserve"> </w:t>
      </w:r>
      <w:hyperlink w:anchor="_ENREF_14" w:tooltip="Clegg, 2017 #37" w:history="1">
        <w:r>
          <w:rPr>
            <w:noProof/>
            <w:szCs w:val="24"/>
          </w:rPr>
          <w:t>Clegg &amp; Bigby, 2017</w:t>
        </w:r>
      </w:hyperlink>
      <w:r>
        <w:rPr>
          <w:noProof/>
          <w:szCs w:val="24"/>
        </w:rPr>
        <w:t xml:space="preserve">; </w:t>
      </w:r>
      <w:hyperlink w:anchor="_ENREF_36" w:tooltip="Marquez, 2016 #86" w:history="1">
        <w:r>
          <w:rPr>
            <w:noProof/>
            <w:szCs w:val="24"/>
          </w:rPr>
          <w:t>Marquez, 2016</w:t>
        </w:r>
      </w:hyperlink>
    </w:p>
  </w:footnote>
  <w:footnote w:id="155">
    <w:p w:rsidR="00CB1C31" w:rsidRDefault="00CB1C31">
      <w:pPr>
        <w:pStyle w:val="FootnoteText"/>
      </w:pPr>
      <w:r>
        <w:rPr>
          <w:rStyle w:val="FootnoteReference"/>
        </w:rPr>
        <w:footnoteRef/>
      </w:r>
      <w:r>
        <w:t xml:space="preserve"> </w:t>
      </w:r>
      <w:hyperlink w:anchor="_ENREF_48" w:tooltip="Rohwerder, 2015 #1" w:history="1">
        <w:r>
          <w:rPr>
            <w:noProof/>
            <w:szCs w:val="24"/>
          </w:rPr>
          <w:t>Rohwerder, 2015</w:t>
        </w:r>
      </w:hyperlink>
    </w:p>
  </w:footnote>
  <w:footnote w:id="156">
    <w:p w:rsidR="00CB1C31" w:rsidRPr="00870C18" w:rsidRDefault="00CB1C31">
      <w:pPr>
        <w:pStyle w:val="FootnoteText"/>
      </w:pPr>
      <w:r>
        <w:rPr>
          <w:rStyle w:val="FootnoteReference"/>
        </w:rPr>
        <w:footnoteRef/>
      </w:r>
      <w:r>
        <w:t xml:space="preserve"> </w:t>
      </w:r>
      <w:r w:rsidRPr="00870C18">
        <w:rPr>
          <w:noProof/>
          <w:szCs w:val="24"/>
        </w:rPr>
        <w:t>Clegg &amp; Bigby, 2017, p. 92</w:t>
      </w:r>
    </w:p>
  </w:footnote>
  <w:footnote w:id="157">
    <w:p w:rsidR="00CB1C31" w:rsidRDefault="00CB1C31">
      <w:pPr>
        <w:pStyle w:val="FootnoteText"/>
      </w:pPr>
      <w:r>
        <w:rPr>
          <w:rStyle w:val="FootnoteReference"/>
        </w:rPr>
        <w:footnoteRef/>
      </w:r>
      <w:r>
        <w:t xml:space="preserve"> </w:t>
      </w:r>
      <w:hyperlink w:anchor="_ENREF_1" w:tooltip="Abed, 2010 #93" w:history="1">
        <w:r>
          <w:rPr>
            <w:noProof/>
          </w:rPr>
          <w:t>Abed et al., 2010</w:t>
        </w:r>
      </w:hyperlink>
      <w:r>
        <w:rPr>
          <w:noProof/>
        </w:rPr>
        <w:t xml:space="preserve">; </w:t>
      </w:r>
      <w:hyperlink w:anchor="_ENREF_35" w:tooltip="Marie, 2016 #108" w:history="1">
        <w:r>
          <w:rPr>
            <w:noProof/>
          </w:rPr>
          <w:t>Marie et al., 2016</w:t>
        </w:r>
      </w:hyperlink>
      <w:r>
        <w:rPr>
          <w:noProof/>
        </w:rPr>
        <w:t xml:space="preserve">; </w:t>
      </w:r>
      <w:hyperlink w:anchor="_ENREF_38" w:tooltip="Mezan Centre for Human Rights, 2001 #77" w:history="1">
        <w:r>
          <w:rPr>
            <w:noProof/>
          </w:rPr>
          <w:t>Mezan Centre for Human Rights</w:t>
        </w:r>
      </w:hyperlink>
      <w:r>
        <w:rPr>
          <w:noProof/>
        </w:rPr>
        <w:t xml:space="preserve">; </w:t>
      </w:r>
      <w:hyperlink w:anchor="_ENREF_75" w:tooltip="World Bank, 2016 #67" w:history="1">
        <w:r>
          <w:rPr>
            <w:noProof/>
          </w:rPr>
          <w:t>World Bank, 2016</w:t>
        </w:r>
      </w:hyperlink>
    </w:p>
  </w:footnote>
  <w:footnote w:id="158">
    <w:p w:rsidR="00CB1C31" w:rsidRDefault="00CB1C31">
      <w:pPr>
        <w:pStyle w:val="FootnoteText"/>
      </w:pPr>
      <w:r>
        <w:rPr>
          <w:rStyle w:val="FootnoteReference"/>
        </w:rPr>
        <w:footnoteRef/>
      </w:r>
      <w:r>
        <w:t xml:space="preserve"> </w:t>
      </w:r>
      <w:hyperlink w:anchor="_ENREF_52" w:tooltip="Ronoh, 2015 #61" w:history="1">
        <w:r>
          <w:rPr>
            <w:noProof/>
          </w:rPr>
          <w:t>Ronoh et al., 2015</w:t>
        </w:r>
      </w:hyperlink>
    </w:p>
  </w:footnote>
  <w:footnote w:id="159">
    <w:p w:rsidR="00CB1C31" w:rsidRDefault="00CB1C31">
      <w:pPr>
        <w:pStyle w:val="FootnoteText"/>
      </w:pPr>
      <w:r>
        <w:rPr>
          <w:rStyle w:val="FootnoteReference"/>
        </w:rPr>
        <w:footnoteRef/>
      </w:r>
      <w:r>
        <w:t xml:space="preserve"> </w:t>
      </w:r>
      <w:hyperlink w:anchor="_ENREF_52" w:tooltip="Ronoh, 2015 #61" w:history="1">
        <w:r>
          <w:rPr>
            <w:noProof/>
          </w:rPr>
          <w:t>Ronoh et al., 2015</w:t>
        </w:r>
      </w:hyperlink>
      <w:r>
        <w:rPr>
          <w:noProof/>
        </w:rPr>
        <w:t xml:space="preserve">; </w:t>
      </w:r>
      <w:hyperlink w:anchor="_ENREF_71" w:tooltip="WHO, 2011 #21" w:history="1">
        <w:r>
          <w:rPr>
            <w:noProof/>
          </w:rPr>
          <w:t>WHO, 2011a</w:t>
        </w:r>
      </w:hyperlink>
    </w:p>
  </w:footnote>
  <w:footnote w:id="160">
    <w:p w:rsidR="00CB1C31" w:rsidRDefault="00CB1C31">
      <w:pPr>
        <w:pStyle w:val="FootnoteText"/>
      </w:pPr>
      <w:r>
        <w:rPr>
          <w:rStyle w:val="FootnoteReference"/>
        </w:rPr>
        <w:footnoteRef/>
      </w:r>
      <w:r>
        <w:t xml:space="preserve"> </w:t>
      </w:r>
      <w:hyperlink w:anchor="_ENREF_47" w:tooltip="Rohwerder, 2013 #2" w:history="1">
        <w:r>
          <w:rPr>
            <w:noProof/>
          </w:rPr>
          <w:t>Rohwerder, 2013</w:t>
        </w:r>
      </w:hyperlink>
    </w:p>
  </w:footnote>
  <w:footnote w:id="161">
    <w:p w:rsidR="00CB1C31" w:rsidRDefault="00CB1C31" w:rsidP="003665E6">
      <w:pPr>
        <w:pStyle w:val="FootnoteText"/>
      </w:pPr>
      <w:r>
        <w:rPr>
          <w:rStyle w:val="FootnoteReference"/>
        </w:rPr>
        <w:footnoteRef/>
      </w:r>
      <w:r>
        <w:t xml:space="preserve"> </w:t>
      </w:r>
      <w:r>
        <w:rPr>
          <w:noProof/>
        </w:rPr>
        <w:t>Clegg &amp; Bigby, 2017; Irish Aid, 2011</w:t>
      </w:r>
    </w:p>
  </w:footnote>
  <w:footnote w:id="162">
    <w:p w:rsidR="00CB1C31" w:rsidRDefault="00CB1C31">
      <w:pPr>
        <w:pStyle w:val="FootnoteText"/>
      </w:pPr>
      <w:r>
        <w:rPr>
          <w:rStyle w:val="FootnoteReference"/>
        </w:rPr>
        <w:footnoteRef/>
      </w:r>
      <w:r>
        <w:t xml:space="preserve"> </w:t>
      </w:r>
      <w:hyperlink w:anchor="_ENREF_36" w:tooltip="Marquez, 2016 #86" w:history="1">
        <w:r>
          <w:rPr>
            <w:noProof/>
          </w:rPr>
          <w:t>Marquez, 2016</w:t>
        </w:r>
      </w:hyperlink>
    </w:p>
  </w:footnote>
  <w:footnote w:id="163">
    <w:p w:rsidR="00CB1C31" w:rsidRDefault="00CB1C31">
      <w:pPr>
        <w:pStyle w:val="FootnoteText"/>
      </w:pPr>
      <w:r>
        <w:rPr>
          <w:rStyle w:val="FootnoteReference"/>
        </w:rPr>
        <w:footnoteRef/>
      </w:r>
      <w:r>
        <w:t xml:space="preserve"> </w:t>
      </w:r>
      <w:hyperlink w:anchor="_ENREF_30" w:tooltip="Irish Aid, 2011 #81" w:history="1">
        <w:r>
          <w:rPr>
            <w:noProof/>
          </w:rPr>
          <w:t>Irish Aid, 2011</w:t>
        </w:r>
      </w:hyperlink>
    </w:p>
  </w:footnote>
  <w:footnote w:id="164">
    <w:p w:rsidR="00CB1C31" w:rsidRDefault="00CB1C31">
      <w:pPr>
        <w:pStyle w:val="FootnoteText"/>
      </w:pPr>
      <w:r>
        <w:rPr>
          <w:rStyle w:val="FootnoteReference"/>
        </w:rPr>
        <w:footnoteRef/>
      </w:r>
      <w:r>
        <w:t xml:space="preserve"> </w:t>
      </w:r>
      <w:hyperlink w:anchor="_ENREF_35" w:tooltip="Marie, 2016 #108" w:history="1">
        <w:r>
          <w:rPr>
            <w:noProof/>
          </w:rPr>
          <w:t>Marie et al., 2016</w:t>
        </w:r>
      </w:hyperlink>
      <w:r>
        <w:rPr>
          <w:noProof/>
        </w:rPr>
        <w:t xml:space="preserve">; </w:t>
      </w:r>
      <w:hyperlink w:anchor="_ENREF_58" w:tooltip="Tol, 2011 #75" w:history="1">
        <w:r>
          <w:rPr>
            <w:noProof/>
          </w:rPr>
          <w:t>Tol et al., 2011</w:t>
        </w:r>
      </w:hyperlink>
    </w:p>
  </w:footnote>
  <w:footnote w:id="165">
    <w:p w:rsidR="00CB1C31" w:rsidRDefault="00CB1C31">
      <w:pPr>
        <w:pStyle w:val="FootnoteText"/>
      </w:pPr>
      <w:r>
        <w:rPr>
          <w:rStyle w:val="FootnoteReference"/>
        </w:rPr>
        <w:footnoteRef/>
      </w:r>
      <w:r>
        <w:t xml:space="preserve"> </w:t>
      </w:r>
      <w:hyperlink w:anchor="_ENREF_68" w:tooltip="Van Ommeren, 2014 #68" w:history="1">
        <w:r>
          <w:rPr>
            <w:noProof/>
          </w:rPr>
          <w:t>Van Ommeren, 2014</w:t>
        </w:r>
      </w:hyperlink>
    </w:p>
  </w:footnote>
  <w:footnote w:id="166">
    <w:p w:rsidR="00CB1C31" w:rsidRDefault="00CB1C31">
      <w:pPr>
        <w:pStyle w:val="FootnoteText"/>
      </w:pPr>
      <w:r>
        <w:rPr>
          <w:rStyle w:val="FootnoteReference"/>
        </w:rPr>
        <w:footnoteRef/>
      </w:r>
      <w:r>
        <w:t xml:space="preserve"> </w:t>
      </w:r>
      <w:hyperlink w:anchor="_ENREF_35" w:tooltip="Marie, 2016 #108" w:history="1">
        <w:r>
          <w:rPr>
            <w:noProof/>
          </w:rPr>
          <w:t>Marie et al., 2016</w:t>
        </w:r>
      </w:hyperlink>
    </w:p>
  </w:footnote>
  <w:footnote w:id="167">
    <w:p w:rsidR="00CB1C31" w:rsidRDefault="00CB1C31">
      <w:pPr>
        <w:pStyle w:val="FootnoteText"/>
      </w:pPr>
      <w:r>
        <w:rPr>
          <w:rStyle w:val="FootnoteReference"/>
        </w:rPr>
        <w:footnoteRef/>
      </w:r>
      <w:r>
        <w:t xml:space="preserve"> </w:t>
      </w:r>
      <w:hyperlink w:anchor="_ENREF_41" w:tooltip="Mohanraj, 2014 #99" w:history="1">
        <w:r>
          <w:rPr>
            <w:noProof/>
          </w:rPr>
          <w:t>Mohanraj, 2014</w:t>
        </w:r>
      </w:hyperlink>
    </w:p>
  </w:footnote>
  <w:footnote w:id="168">
    <w:p w:rsidR="00CB1C31" w:rsidRDefault="00CB1C31">
      <w:pPr>
        <w:pStyle w:val="FootnoteText"/>
      </w:pPr>
      <w:r>
        <w:rPr>
          <w:rStyle w:val="FootnoteReference"/>
        </w:rPr>
        <w:footnoteRef/>
      </w:r>
      <w:r>
        <w:t xml:space="preserve"> </w:t>
      </w:r>
      <w:hyperlink w:anchor="_ENREF_34" w:tooltip="Llosa, 2014 #76" w:history="1">
        <w:r>
          <w:rPr>
            <w:noProof/>
          </w:rPr>
          <w:t>Llosa et al., 2014</w:t>
        </w:r>
      </w:hyperlink>
    </w:p>
  </w:footnote>
  <w:footnote w:id="169">
    <w:p w:rsidR="00CB1C31" w:rsidRDefault="00CB1C31">
      <w:pPr>
        <w:pStyle w:val="FootnoteText"/>
      </w:pPr>
      <w:r>
        <w:rPr>
          <w:rStyle w:val="FootnoteReference"/>
        </w:rPr>
        <w:footnoteRef/>
      </w:r>
      <w:r>
        <w:t xml:space="preserve"> </w:t>
      </w:r>
      <w:hyperlink w:anchor="_ENREF_38" w:tooltip="Mezan Centre for Human Rights, 2001 #77" w:history="1">
        <w:r>
          <w:rPr>
            <w:noProof/>
          </w:rPr>
          <w:t>Mezan Centre for Human Rights</w:t>
        </w:r>
      </w:hyperlink>
    </w:p>
  </w:footnote>
  <w:footnote w:id="170">
    <w:p w:rsidR="00CB1C31" w:rsidRDefault="00CB1C31">
      <w:pPr>
        <w:pStyle w:val="FootnoteText"/>
      </w:pPr>
      <w:r>
        <w:rPr>
          <w:rStyle w:val="FootnoteReference"/>
        </w:rPr>
        <w:footnoteRef/>
      </w:r>
      <w:r>
        <w:t xml:space="preserve"> </w:t>
      </w:r>
      <w:hyperlink w:anchor="_ENREF_36" w:tooltip="Marquez, 2016 #86" w:history="1">
        <w:r>
          <w:rPr>
            <w:noProof/>
          </w:rPr>
          <w:t>Marquez, 2016</w:t>
        </w:r>
      </w:hyperlink>
      <w:r>
        <w:rPr>
          <w:noProof/>
        </w:rPr>
        <w:t xml:space="preserve">; </w:t>
      </w:r>
      <w:hyperlink w:anchor="_ENREF_68" w:tooltip="Van Ommeren, 2014 #68" w:history="1">
        <w:r>
          <w:rPr>
            <w:noProof/>
          </w:rPr>
          <w:t>Van Ommeren, 2014</w:t>
        </w:r>
      </w:hyperlink>
    </w:p>
  </w:footnote>
  <w:footnote w:id="171">
    <w:p w:rsidR="00CB1C31" w:rsidRDefault="00CB1C31">
      <w:pPr>
        <w:pStyle w:val="FootnoteText"/>
      </w:pPr>
      <w:r>
        <w:rPr>
          <w:rStyle w:val="FootnoteReference"/>
        </w:rPr>
        <w:footnoteRef/>
      </w:r>
      <w:r>
        <w:t xml:space="preserve"> </w:t>
      </w:r>
      <w:hyperlink w:anchor="_ENREF_52" w:tooltip="Ronoh, 2015 #61" w:history="1">
        <w:r>
          <w:rPr>
            <w:noProof/>
          </w:rPr>
          <w:t>Ronoh et al., 2015</w:t>
        </w:r>
      </w:hyperlink>
      <w:r>
        <w:rPr>
          <w:noProof/>
        </w:rPr>
        <w:t xml:space="preserve">; </w:t>
      </w:r>
      <w:hyperlink w:anchor="_ENREF_77" w:tooltip="World Health Organization, 2007 #11" w:history="1">
        <w:r>
          <w:rPr>
            <w:noProof/>
          </w:rPr>
          <w:t>World Health Organization, 2007</w:t>
        </w:r>
      </w:hyperlink>
    </w:p>
  </w:footnote>
  <w:footnote w:id="172">
    <w:p w:rsidR="00CB1C31" w:rsidRPr="00870C18" w:rsidRDefault="00CB1C31" w:rsidP="003665E6">
      <w:pPr>
        <w:pStyle w:val="FootnoteText"/>
        <w:rPr>
          <w:lang w:val="en-US"/>
        </w:rPr>
      </w:pPr>
      <w:r>
        <w:rPr>
          <w:rStyle w:val="FootnoteReference"/>
        </w:rPr>
        <w:footnoteRef/>
      </w:r>
      <w:r>
        <w:t xml:space="preserve"> </w:t>
      </w:r>
      <w:r>
        <w:rPr>
          <w:noProof/>
        </w:rPr>
        <w:t>United Nations, 2013</w:t>
      </w:r>
    </w:p>
  </w:footnote>
  <w:footnote w:id="173">
    <w:p w:rsidR="00CB1C31" w:rsidRPr="00870C18" w:rsidRDefault="00CB1C31" w:rsidP="003665E6">
      <w:pPr>
        <w:pStyle w:val="FootnoteText"/>
        <w:rPr>
          <w:lang w:val="en-US"/>
        </w:rPr>
      </w:pPr>
      <w:r>
        <w:rPr>
          <w:rStyle w:val="FootnoteReference"/>
        </w:rPr>
        <w:footnoteRef/>
      </w:r>
      <w:r>
        <w:t xml:space="preserve"> </w:t>
      </w:r>
      <w:r>
        <w:rPr>
          <w:noProof/>
        </w:rPr>
        <w:t>Marie et al., 2016</w:t>
      </w:r>
    </w:p>
  </w:footnote>
  <w:footnote w:id="174">
    <w:p w:rsidR="00CB1C31" w:rsidRDefault="00CB1C31" w:rsidP="003665E6">
      <w:pPr>
        <w:pStyle w:val="FootnoteText"/>
      </w:pPr>
      <w:r>
        <w:rPr>
          <w:rStyle w:val="FootnoteReference"/>
        </w:rPr>
        <w:footnoteRef/>
      </w:r>
      <w:r>
        <w:t xml:space="preserve"> </w:t>
      </w:r>
      <w:r>
        <w:rPr>
          <w:noProof/>
        </w:rPr>
        <w:t>Van Ommeren, 2014</w:t>
      </w:r>
    </w:p>
  </w:footnote>
  <w:footnote w:id="175">
    <w:p w:rsidR="00CB1C31" w:rsidRDefault="00CB1C31">
      <w:pPr>
        <w:pStyle w:val="FootnoteText"/>
      </w:pPr>
      <w:r>
        <w:rPr>
          <w:rStyle w:val="FootnoteReference"/>
        </w:rPr>
        <w:footnoteRef/>
      </w:r>
      <w:r>
        <w:t xml:space="preserve"> </w:t>
      </w:r>
      <w:hyperlink w:anchor="_ENREF_43" w:tooltip="Palestinian Ministry of Social Affairs, 2009 #88" w:history="1">
        <w:r>
          <w:rPr>
            <w:noProof/>
            <w:szCs w:val="24"/>
          </w:rPr>
          <w:t>Palestinian Ministry of Social Affairs, 2009</w:t>
        </w:r>
      </w:hyperlink>
      <w:r>
        <w:rPr>
          <w:noProof/>
          <w:szCs w:val="24"/>
        </w:rPr>
        <w:t xml:space="preserve">; </w:t>
      </w:r>
      <w:hyperlink w:anchor="_ENREF_67" w:tooltip="UNRWA, 2017 #109" w:history="1">
        <w:r>
          <w:rPr>
            <w:noProof/>
            <w:szCs w:val="24"/>
          </w:rPr>
          <w:t>UNRWA, 2017</w:t>
        </w:r>
      </w:hyperlink>
    </w:p>
  </w:footnote>
  <w:footnote w:id="176">
    <w:p w:rsidR="00CB1C31" w:rsidRPr="00870C18" w:rsidRDefault="00CB1C31" w:rsidP="003665E6">
      <w:pPr>
        <w:pStyle w:val="FootnoteText"/>
        <w:rPr>
          <w:lang w:val="en-US"/>
        </w:rPr>
      </w:pPr>
      <w:r>
        <w:rPr>
          <w:rStyle w:val="FootnoteReference"/>
        </w:rPr>
        <w:footnoteRef/>
      </w:r>
      <w:r>
        <w:t xml:space="preserve"> </w:t>
      </w:r>
      <w:r>
        <w:rPr>
          <w:noProof/>
          <w:szCs w:val="24"/>
        </w:rPr>
        <w:t>World Bank, 2016</w:t>
      </w:r>
    </w:p>
  </w:footnote>
  <w:footnote w:id="177">
    <w:p w:rsidR="00CB1C31" w:rsidRDefault="00CB1C31" w:rsidP="003665E6">
      <w:pPr>
        <w:pStyle w:val="FootnoteText"/>
      </w:pPr>
      <w:r>
        <w:rPr>
          <w:rStyle w:val="FootnoteReference"/>
        </w:rPr>
        <w:footnoteRef/>
      </w:r>
      <w:r>
        <w:t xml:space="preserve"> </w:t>
      </w:r>
      <w:r>
        <w:rPr>
          <w:noProof/>
          <w:szCs w:val="24"/>
        </w:rPr>
        <w:t>Rohwerder, 2013</w:t>
      </w:r>
    </w:p>
  </w:footnote>
  <w:footnote w:id="178">
    <w:p w:rsidR="00CB1C31" w:rsidRPr="00870C18" w:rsidRDefault="00CB1C31" w:rsidP="003665E6">
      <w:pPr>
        <w:pStyle w:val="FootnoteText"/>
        <w:rPr>
          <w:lang w:val="en-US"/>
        </w:rPr>
      </w:pPr>
      <w:r>
        <w:rPr>
          <w:rStyle w:val="FootnoteReference"/>
        </w:rPr>
        <w:footnoteRef/>
      </w:r>
      <w:r>
        <w:t xml:space="preserve"> </w:t>
      </w:r>
      <w:r>
        <w:rPr>
          <w:noProof/>
          <w:szCs w:val="24"/>
        </w:rPr>
        <w:t>Herr et al., 2003</w:t>
      </w:r>
    </w:p>
  </w:footnote>
  <w:footnote w:id="179">
    <w:p w:rsidR="00CB1C31" w:rsidRPr="00CD2031" w:rsidRDefault="00CB1C31" w:rsidP="003665E6">
      <w:pPr>
        <w:pStyle w:val="FootnoteText"/>
        <w:rPr>
          <w:lang w:val="en-US"/>
        </w:rPr>
      </w:pPr>
      <w:r>
        <w:rPr>
          <w:rStyle w:val="FootnoteReference"/>
        </w:rPr>
        <w:footnoteRef/>
      </w:r>
      <w:r>
        <w:t xml:space="preserve"> </w:t>
      </w:r>
      <w:r>
        <w:rPr>
          <w:noProof/>
          <w:szCs w:val="24"/>
        </w:rPr>
        <w:t>Clegg and Bigby, 2017</w:t>
      </w:r>
    </w:p>
  </w:footnote>
  <w:footnote w:id="180">
    <w:p w:rsidR="00CB1C31" w:rsidRDefault="00CB1C31">
      <w:pPr>
        <w:pStyle w:val="FootnoteText"/>
      </w:pPr>
      <w:r>
        <w:rPr>
          <w:rStyle w:val="FootnoteReference"/>
        </w:rPr>
        <w:footnoteRef/>
      </w:r>
      <w:r>
        <w:t xml:space="preserve"> </w:t>
      </w:r>
      <w:hyperlink w:anchor="_ENREF_40" w:tooltip="Mitchell, 2014 #32" w:history="1">
        <w:r>
          <w:rPr>
            <w:noProof/>
            <w:szCs w:val="24"/>
          </w:rPr>
          <w:t>Mitchell, 2014</w:t>
        </w:r>
      </w:hyperlink>
    </w:p>
  </w:footnote>
  <w:footnote w:id="181">
    <w:p w:rsidR="00CB1C31" w:rsidRDefault="00CB1C31" w:rsidP="003665E6">
      <w:pPr>
        <w:pStyle w:val="FootnoteText"/>
      </w:pPr>
      <w:r>
        <w:rPr>
          <w:rStyle w:val="FootnoteReference"/>
        </w:rPr>
        <w:footnoteRef/>
      </w:r>
      <w:r>
        <w:t xml:space="preserve"> </w:t>
      </w:r>
      <w:r>
        <w:rPr>
          <w:noProof/>
          <w:szCs w:val="24"/>
        </w:rPr>
        <w:t>Burton et al., 2013; Mezan Centre for Human Rights, 2001; Office of High Commissioner for Human Rights, 2017; Women’s Refugee Commission, 2013</w:t>
      </w:r>
    </w:p>
  </w:footnote>
  <w:footnote w:id="182">
    <w:p w:rsidR="00CB1C31" w:rsidRDefault="00CB1C31">
      <w:pPr>
        <w:pStyle w:val="FootnoteText"/>
      </w:pPr>
      <w:r>
        <w:rPr>
          <w:rStyle w:val="FootnoteReference"/>
        </w:rPr>
        <w:footnoteRef/>
      </w:r>
      <w:r>
        <w:t xml:space="preserve"> </w:t>
      </w:r>
      <w:hyperlink w:anchor="_ENREF_10" w:tooltip="Burton, 2013 #102" w:history="1">
        <w:r>
          <w:rPr>
            <w:noProof/>
            <w:szCs w:val="24"/>
          </w:rPr>
          <w:t>Burton et al., 2013</w:t>
        </w:r>
      </w:hyperlink>
    </w:p>
  </w:footnote>
  <w:footnote w:id="183">
    <w:p w:rsidR="00CB1C31" w:rsidRDefault="00CB1C31">
      <w:pPr>
        <w:pStyle w:val="FootnoteText"/>
      </w:pPr>
      <w:r>
        <w:rPr>
          <w:rStyle w:val="FootnoteReference"/>
        </w:rPr>
        <w:footnoteRef/>
      </w:r>
      <w:r>
        <w:t xml:space="preserve"> </w:t>
      </w:r>
      <w:hyperlink w:anchor="_ENREF_22" w:tooltip="Greskamp, 2013 #101" w:history="1">
        <w:r>
          <w:rPr>
            <w:noProof/>
            <w:szCs w:val="24"/>
          </w:rPr>
          <w:t>Greskamp, 2013</w:t>
        </w:r>
      </w:hyperlink>
      <w:r>
        <w:rPr>
          <w:noProof/>
          <w:szCs w:val="24"/>
        </w:rPr>
        <w:t xml:space="preserve">; </w:t>
      </w:r>
      <w:hyperlink w:anchor="_ENREF_56" w:tooltip="Smith, 2012 #69" w:history="1">
        <w:r>
          <w:rPr>
            <w:noProof/>
            <w:szCs w:val="24"/>
          </w:rPr>
          <w:t>Smith, 2012</w:t>
        </w:r>
      </w:hyperlink>
    </w:p>
  </w:footnote>
  <w:footnote w:id="184">
    <w:p w:rsidR="00CB1C31" w:rsidRPr="00870C18" w:rsidRDefault="00CB1C31" w:rsidP="003665E6">
      <w:pPr>
        <w:pStyle w:val="FootnoteText"/>
        <w:rPr>
          <w:lang w:val="en-US"/>
        </w:rPr>
      </w:pPr>
      <w:r>
        <w:rPr>
          <w:rStyle w:val="FootnoteReference"/>
        </w:rPr>
        <w:footnoteRef/>
      </w:r>
      <w:r>
        <w:t xml:space="preserve"> </w:t>
      </w:r>
      <w:r>
        <w:rPr>
          <w:noProof/>
          <w:szCs w:val="24"/>
        </w:rPr>
        <w:t>Rohwerder, 2013</w:t>
      </w:r>
    </w:p>
  </w:footnote>
  <w:footnote w:id="185">
    <w:p w:rsidR="00CB1C31" w:rsidRDefault="00CB1C31">
      <w:pPr>
        <w:pStyle w:val="FootnoteText"/>
      </w:pPr>
      <w:r>
        <w:rPr>
          <w:rStyle w:val="FootnoteReference"/>
        </w:rPr>
        <w:footnoteRef/>
      </w:r>
      <w:r>
        <w:t xml:space="preserve"> </w:t>
      </w:r>
      <w:hyperlink w:anchor="_ENREF_22" w:tooltip="Greskamp, 2013 #101" w:history="1">
        <w:r>
          <w:rPr>
            <w:noProof/>
            <w:szCs w:val="24"/>
          </w:rPr>
          <w:t>Greskamp, 2013</w:t>
        </w:r>
      </w:hyperlink>
    </w:p>
  </w:footnote>
  <w:footnote w:id="186">
    <w:p w:rsidR="00CB1C31" w:rsidRDefault="00CB1C31">
      <w:pPr>
        <w:pStyle w:val="FootnoteText"/>
      </w:pPr>
      <w:r>
        <w:rPr>
          <w:rStyle w:val="FootnoteReference"/>
        </w:rPr>
        <w:footnoteRef/>
      </w:r>
      <w:r>
        <w:t xml:space="preserve"> </w:t>
      </w:r>
      <w:hyperlink w:anchor="_ENREF_33" w:tooltip="Lansdown, 2012 #33" w:history="1">
        <w:r>
          <w:rPr>
            <w:noProof/>
            <w:szCs w:val="24"/>
          </w:rPr>
          <w:t>Lansdown, 2012</w:t>
        </w:r>
      </w:hyperlink>
      <w:r>
        <w:rPr>
          <w:noProof/>
          <w:szCs w:val="24"/>
        </w:rPr>
        <w:t xml:space="preserve">; </w:t>
      </w:r>
      <w:hyperlink w:anchor="_ENREF_37" w:tooltip="McKenzie, 2013 #40" w:history="1">
        <w:r>
          <w:rPr>
            <w:noProof/>
            <w:szCs w:val="24"/>
          </w:rPr>
          <w:t>McKenzie, 2013</w:t>
        </w:r>
      </w:hyperlink>
      <w:r>
        <w:rPr>
          <w:noProof/>
          <w:szCs w:val="24"/>
        </w:rPr>
        <w:t xml:space="preserve">; </w:t>
      </w:r>
      <w:hyperlink w:anchor="_ENREF_40" w:tooltip="Mitchell, 2014 #32" w:history="1">
        <w:r>
          <w:rPr>
            <w:noProof/>
            <w:szCs w:val="24"/>
          </w:rPr>
          <w:t>Mitchell, 2014</w:t>
        </w:r>
      </w:hyperlink>
    </w:p>
  </w:footnote>
  <w:footnote w:id="187">
    <w:p w:rsidR="00CB1C31" w:rsidRDefault="00CB1C31" w:rsidP="003665E6">
      <w:pPr>
        <w:pStyle w:val="FootnoteText"/>
      </w:pPr>
      <w:r>
        <w:rPr>
          <w:rStyle w:val="FootnoteReference"/>
        </w:rPr>
        <w:footnoteRef/>
      </w:r>
      <w:r>
        <w:t xml:space="preserve"> </w:t>
      </w:r>
      <w:hyperlink w:anchor="_ENREF_40" w:tooltip="Mitchell, 2014 #32" w:history="1">
        <w:r>
          <w:rPr>
            <w:noProof/>
            <w:szCs w:val="24"/>
          </w:rPr>
          <w:t>Mitchell, 2014</w:t>
        </w:r>
      </w:hyperlink>
      <w:r>
        <w:rPr>
          <w:noProof/>
          <w:szCs w:val="24"/>
        </w:rPr>
        <w:t xml:space="preserve">; </w:t>
      </w:r>
      <w:hyperlink w:anchor="_ENREF_47" w:tooltip="Rohwerder, 2013 #2" w:history="1">
        <w:r>
          <w:rPr>
            <w:noProof/>
            <w:szCs w:val="24"/>
          </w:rPr>
          <w:t>Rohwerder, 2013</w:t>
        </w:r>
      </w:hyperlink>
      <w:r>
        <w:rPr>
          <w:noProof/>
          <w:szCs w:val="24"/>
        </w:rPr>
        <w:t>; UN General Assembly, 2015</w:t>
      </w:r>
    </w:p>
  </w:footnote>
  <w:footnote w:id="188">
    <w:p w:rsidR="00CB1C31" w:rsidRPr="00870C18" w:rsidRDefault="00CB1C31" w:rsidP="003665E6">
      <w:pPr>
        <w:pStyle w:val="FootnoteText"/>
      </w:pPr>
      <w:r>
        <w:rPr>
          <w:rStyle w:val="FootnoteReference"/>
        </w:rPr>
        <w:footnoteRef/>
      </w:r>
      <w:r>
        <w:t xml:space="preserve"> </w:t>
      </w:r>
      <w:r>
        <w:rPr>
          <w:noProof/>
          <w:szCs w:val="24"/>
        </w:rPr>
        <w:t>Rohwerder, 2013; UN General Assembly, 2015</w:t>
      </w:r>
    </w:p>
  </w:footnote>
  <w:footnote w:id="189">
    <w:p w:rsidR="00CB1C31" w:rsidRDefault="00CB1C31">
      <w:pPr>
        <w:pStyle w:val="FootnoteText"/>
      </w:pPr>
      <w:r>
        <w:rPr>
          <w:rStyle w:val="FootnoteReference"/>
        </w:rPr>
        <w:footnoteRef/>
      </w:r>
      <w:r>
        <w:t xml:space="preserve"> </w:t>
      </w:r>
      <w:hyperlink w:anchor="_ENREF_77" w:tooltip="World Health Organization, 2007 #11" w:history="1">
        <w:r>
          <w:rPr>
            <w:noProof/>
            <w:szCs w:val="24"/>
          </w:rPr>
          <w:t>World Health Organization, 2007</w:t>
        </w:r>
      </w:hyperlink>
    </w:p>
  </w:footnote>
  <w:footnote w:id="190">
    <w:p w:rsidR="00CB1C31" w:rsidRDefault="00CB1C31">
      <w:pPr>
        <w:pStyle w:val="FootnoteText"/>
      </w:pPr>
      <w:r>
        <w:rPr>
          <w:rStyle w:val="FootnoteReference"/>
        </w:rPr>
        <w:footnoteRef/>
      </w:r>
      <w:r>
        <w:t xml:space="preserve"> </w:t>
      </w:r>
      <w:hyperlink w:anchor="_ENREF_47" w:tooltip="Rohwerder, 2013 #2" w:history="1">
        <w:r>
          <w:rPr>
            <w:noProof/>
            <w:szCs w:val="24"/>
          </w:rPr>
          <w:t>Rohwerder, 2013</w:t>
        </w:r>
      </w:hyperlink>
    </w:p>
  </w:footnote>
  <w:footnote w:id="191">
    <w:p w:rsidR="00CB1C31" w:rsidRDefault="00CB1C31">
      <w:pPr>
        <w:pStyle w:val="FootnoteText"/>
      </w:pPr>
      <w:r>
        <w:rPr>
          <w:rStyle w:val="FootnoteReference"/>
        </w:rPr>
        <w:footnoteRef/>
      </w:r>
      <w:r>
        <w:t xml:space="preserve"> </w:t>
      </w:r>
      <w:hyperlink w:anchor="_ENREF_14" w:tooltip="Clegg, 2017 #37" w:history="1">
        <w:r>
          <w:rPr>
            <w:noProof/>
            <w:szCs w:val="24"/>
          </w:rPr>
          <w:t>Clegg &amp; Bigby, 2017</w:t>
        </w:r>
      </w:hyperlink>
    </w:p>
  </w:footnote>
  <w:footnote w:id="192">
    <w:p w:rsidR="00CB1C31" w:rsidRDefault="00CB1C31">
      <w:pPr>
        <w:pStyle w:val="FootnoteText"/>
      </w:pPr>
      <w:r>
        <w:rPr>
          <w:rStyle w:val="FootnoteReference"/>
        </w:rPr>
        <w:footnoteRef/>
      </w:r>
      <w:r>
        <w:t xml:space="preserve"> </w:t>
      </w:r>
      <w:hyperlink w:anchor="_ENREF_22" w:tooltip="Greskamp, 2013 #101" w:history="1">
        <w:r>
          <w:rPr>
            <w:noProof/>
            <w:szCs w:val="24"/>
          </w:rPr>
          <w:t>Greskamp, 2013</w:t>
        </w:r>
      </w:hyperlink>
      <w:r>
        <w:rPr>
          <w:noProof/>
          <w:szCs w:val="24"/>
        </w:rPr>
        <w:t xml:space="preserve">; </w:t>
      </w:r>
      <w:hyperlink w:anchor="_ENREF_36" w:tooltip="Marquez, 2016 #86" w:history="1">
        <w:r>
          <w:rPr>
            <w:noProof/>
            <w:szCs w:val="24"/>
          </w:rPr>
          <w:t>Marquez, 2016</w:t>
        </w:r>
      </w:hyperlink>
    </w:p>
  </w:footnote>
  <w:footnote w:id="193">
    <w:p w:rsidR="00CB1C31" w:rsidRDefault="00CB1C31">
      <w:pPr>
        <w:pStyle w:val="FootnoteText"/>
      </w:pPr>
      <w:r>
        <w:rPr>
          <w:rStyle w:val="FootnoteReference"/>
        </w:rPr>
        <w:footnoteRef/>
      </w:r>
      <w:r>
        <w:t xml:space="preserve"> </w:t>
      </w:r>
      <w:hyperlink w:anchor="_ENREF_25" w:tooltip="Hemingway, 2014 #46" w:history="1">
        <w:r>
          <w:rPr>
            <w:noProof/>
            <w:szCs w:val="24"/>
          </w:rPr>
          <w:t>Hemingway &amp; Priestley, 2014</w:t>
        </w:r>
      </w:hyperlink>
      <w:r>
        <w:rPr>
          <w:noProof/>
          <w:szCs w:val="24"/>
        </w:rPr>
        <w:t xml:space="preserve">; </w:t>
      </w:r>
      <w:hyperlink w:anchor="_ENREF_47" w:tooltip="Rohwerder, 2013 #2" w:history="1">
        <w:r>
          <w:rPr>
            <w:noProof/>
            <w:szCs w:val="24"/>
          </w:rPr>
          <w:t>Rohwerder, 2013</w:t>
        </w:r>
      </w:hyperlink>
      <w:r>
        <w:rPr>
          <w:noProof/>
          <w:szCs w:val="24"/>
        </w:rPr>
        <w:t xml:space="preserve">; </w:t>
      </w:r>
      <w:hyperlink w:anchor="_ENREF_68" w:tooltip="Van Ommeren, 2014 #68" w:history="1">
        <w:r>
          <w:rPr>
            <w:noProof/>
            <w:szCs w:val="24"/>
          </w:rPr>
          <w:t>Van Ommeren, 2014</w:t>
        </w:r>
      </w:hyperlink>
    </w:p>
  </w:footnote>
  <w:footnote w:id="194">
    <w:p w:rsidR="00CB1C31" w:rsidRPr="00870C18" w:rsidRDefault="00CB1C31" w:rsidP="003665E6">
      <w:pPr>
        <w:pStyle w:val="FootnoteText"/>
        <w:rPr>
          <w:lang w:val="en-US"/>
        </w:rPr>
      </w:pPr>
      <w:r>
        <w:rPr>
          <w:rStyle w:val="FootnoteReference"/>
        </w:rPr>
        <w:footnoteRef/>
      </w:r>
      <w:r>
        <w:t xml:space="preserve"> </w:t>
      </w:r>
      <w:r>
        <w:rPr>
          <w:noProof/>
          <w:szCs w:val="24"/>
        </w:rPr>
        <w:t>Klynman et al., 2007</w:t>
      </w:r>
    </w:p>
  </w:footnote>
  <w:footnote w:id="195">
    <w:p w:rsidR="00CB1C31" w:rsidRDefault="00CB1C31">
      <w:pPr>
        <w:pStyle w:val="FootnoteText"/>
      </w:pPr>
      <w:r>
        <w:rPr>
          <w:rStyle w:val="FootnoteReference"/>
        </w:rPr>
        <w:footnoteRef/>
      </w:r>
      <w:r>
        <w:t xml:space="preserve"> </w:t>
      </w:r>
      <w:hyperlink w:anchor="_ENREF_74" w:tooltip="WHO IASC, 2007 #87" w:history="1">
        <w:r>
          <w:rPr>
            <w:noProof/>
            <w:szCs w:val="24"/>
          </w:rPr>
          <w:t>WHO IASC, 2007</w:t>
        </w:r>
      </w:hyperlink>
    </w:p>
  </w:footnote>
  <w:footnote w:id="196">
    <w:p w:rsidR="00CB1C31" w:rsidRDefault="00CB1C31">
      <w:pPr>
        <w:pStyle w:val="FootnoteText"/>
      </w:pPr>
      <w:r>
        <w:rPr>
          <w:rStyle w:val="FootnoteReference"/>
        </w:rPr>
        <w:footnoteRef/>
      </w:r>
      <w:r>
        <w:t xml:space="preserve"> </w:t>
      </w:r>
      <w:hyperlink w:anchor="_ENREF_77" w:tooltip="World Health Organization, 2007 #11" w:history="1">
        <w:r>
          <w:rPr>
            <w:noProof/>
            <w:szCs w:val="24"/>
          </w:rPr>
          <w:t>World Health Organization, 2007</w:t>
        </w:r>
      </w:hyperlink>
    </w:p>
  </w:footnote>
  <w:footnote w:id="197">
    <w:p w:rsidR="00CB1C31" w:rsidRDefault="00CB1C31">
      <w:pPr>
        <w:pStyle w:val="FootnoteText"/>
      </w:pPr>
      <w:r>
        <w:rPr>
          <w:rStyle w:val="FootnoteReference"/>
        </w:rPr>
        <w:footnoteRef/>
      </w:r>
      <w:r>
        <w:t xml:space="preserve"> </w:t>
      </w:r>
      <w:hyperlink w:anchor="_ENREF_24" w:tooltip="Harris, 2003 #111" w:history="1">
        <w:r>
          <w:rPr>
            <w:noProof/>
            <w:szCs w:val="24"/>
          </w:rPr>
          <w:t>Harris &amp; Enfield, 2003</w:t>
        </w:r>
      </w:hyperlink>
    </w:p>
  </w:footnote>
  <w:footnote w:id="198">
    <w:p w:rsidR="00CB1C31" w:rsidRDefault="00CB1C31">
      <w:pPr>
        <w:pStyle w:val="FootnoteText"/>
      </w:pPr>
      <w:r>
        <w:rPr>
          <w:rStyle w:val="FootnoteReference"/>
        </w:rPr>
        <w:footnoteRef/>
      </w:r>
      <w:r>
        <w:t xml:space="preserve"> </w:t>
      </w:r>
      <w:hyperlink w:anchor="_ENREF_50" w:tooltip="Rohwerder, 2017 #110" w:history="1">
        <w:r>
          <w:rPr>
            <w:noProof/>
            <w:szCs w:val="24"/>
          </w:rPr>
          <w:t>Rohwerder, 2017a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68BD"/>
    <w:multiLevelType w:val="hybridMultilevel"/>
    <w:tmpl w:val="DBFAAA92"/>
    <w:lvl w:ilvl="0" w:tplc="299E179A">
      <w:start w:val="1"/>
      <w:numFmt w:val="bullet"/>
      <w:lvlText w:val="•"/>
      <w:lvlJc w:val="left"/>
      <w:pPr>
        <w:tabs>
          <w:tab w:val="num" w:pos="720"/>
        </w:tabs>
        <w:ind w:left="720" w:hanging="360"/>
      </w:pPr>
      <w:rPr>
        <w:rFonts w:ascii="Arial" w:hAnsi="Arial" w:hint="default"/>
      </w:rPr>
    </w:lvl>
    <w:lvl w:ilvl="1" w:tplc="C054D34E" w:tentative="1">
      <w:start w:val="1"/>
      <w:numFmt w:val="bullet"/>
      <w:lvlText w:val="•"/>
      <w:lvlJc w:val="left"/>
      <w:pPr>
        <w:tabs>
          <w:tab w:val="num" w:pos="1440"/>
        </w:tabs>
        <w:ind w:left="1440" w:hanging="360"/>
      </w:pPr>
      <w:rPr>
        <w:rFonts w:ascii="Arial" w:hAnsi="Arial" w:hint="default"/>
      </w:rPr>
    </w:lvl>
    <w:lvl w:ilvl="2" w:tplc="07F4726E" w:tentative="1">
      <w:start w:val="1"/>
      <w:numFmt w:val="bullet"/>
      <w:lvlText w:val="•"/>
      <w:lvlJc w:val="left"/>
      <w:pPr>
        <w:tabs>
          <w:tab w:val="num" w:pos="2160"/>
        </w:tabs>
        <w:ind w:left="2160" w:hanging="360"/>
      </w:pPr>
      <w:rPr>
        <w:rFonts w:ascii="Arial" w:hAnsi="Arial" w:hint="default"/>
      </w:rPr>
    </w:lvl>
    <w:lvl w:ilvl="3" w:tplc="813EA276" w:tentative="1">
      <w:start w:val="1"/>
      <w:numFmt w:val="bullet"/>
      <w:lvlText w:val="•"/>
      <w:lvlJc w:val="left"/>
      <w:pPr>
        <w:tabs>
          <w:tab w:val="num" w:pos="2880"/>
        </w:tabs>
        <w:ind w:left="2880" w:hanging="360"/>
      </w:pPr>
      <w:rPr>
        <w:rFonts w:ascii="Arial" w:hAnsi="Arial" w:hint="default"/>
      </w:rPr>
    </w:lvl>
    <w:lvl w:ilvl="4" w:tplc="07C6751C" w:tentative="1">
      <w:start w:val="1"/>
      <w:numFmt w:val="bullet"/>
      <w:lvlText w:val="•"/>
      <w:lvlJc w:val="left"/>
      <w:pPr>
        <w:tabs>
          <w:tab w:val="num" w:pos="3600"/>
        </w:tabs>
        <w:ind w:left="3600" w:hanging="360"/>
      </w:pPr>
      <w:rPr>
        <w:rFonts w:ascii="Arial" w:hAnsi="Arial" w:hint="default"/>
      </w:rPr>
    </w:lvl>
    <w:lvl w:ilvl="5" w:tplc="2CD69388" w:tentative="1">
      <w:start w:val="1"/>
      <w:numFmt w:val="bullet"/>
      <w:lvlText w:val="•"/>
      <w:lvlJc w:val="left"/>
      <w:pPr>
        <w:tabs>
          <w:tab w:val="num" w:pos="4320"/>
        </w:tabs>
        <w:ind w:left="4320" w:hanging="360"/>
      </w:pPr>
      <w:rPr>
        <w:rFonts w:ascii="Arial" w:hAnsi="Arial" w:hint="default"/>
      </w:rPr>
    </w:lvl>
    <w:lvl w:ilvl="6" w:tplc="57B40A18" w:tentative="1">
      <w:start w:val="1"/>
      <w:numFmt w:val="bullet"/>
      <w:lvlText w:val="•"/>
      <w:lvlJc w:val="left"/>
      <w:pPr>
        <w:tabs>
          <w:tab w:val="num" w:pos="5040"/>
        </w:tabs>
        <w:ind w:left="5040" w:hanging="360"/>
      </w:pPr>
      <w:rPr>
        <w:rFonts w:ascii="Arial" w:hAnsi="Arial" w:hint="default"/>
      </w:rPr>
    </w:lvl>
    <w:lvl w:ilvl="7" w:tplc="BD089414" w:tentative="1">
      <w:start w:val="1"/>
      <w:numFmt w:val="bullet"/>
      <w:lvlText w:val="•"/>
      <w:lvlJc w:val="left"/>
      <w:pPr>
        <w:tabs>
          <w:tab w:val="num" w:pos="5760"/>
        </w:tabs>
        <w:ind w:left="5760" w:hanging="360"/>
      </w:pPr>
      <w:rPr>
        <w:rFonts w:ascii="Arial" w:hAnsi="Arial" w:hint="default"/>
      </w:rPr>
    </w:lvl>
    <w:lvl w:ilvl="8" w:tplc="3AC4ED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6D53EF"/>
    <w:multiLevelType w:val="multilevel"/>
    <w:tmpl w:val="6002961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C93CD0"/>
    <w:multiLevelType w:val="hybridMultilevel"/>
    <w:tmpl w:val="68DAF108"/>
    <w:numStyleLink w:val="ImportedStyle2"/>
  </w:abstractNum>
  <w:abstractNum w:abstractNumId="3" w15:restartNumberingAfterBreak="0">
    <w:nsid w:val="0A5766C7"/>
    <w:multiLevelType w:val="hybridMultilevel"/>
    <w:tmpl w:val="68DAF108"/>
    <w:styleLink w:val="ImportedStyle2"/>
    <w:lvl w:ilvl="0" w:tplc="61C2B39A">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8C7B1E">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7427D4">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863C20">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D6CD2A">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6ECDF8">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8424E6">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64A490">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22101C">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97691E"/>
    <w:multiLevelType w:val="multilevel"/>
    <w:tmpl w:val="F2CA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04719"/>
    <w:multiLevelType w:val="multilevel"/>
    <w:tmpl w:val="AAE8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64C09"/>
    <w:multiLevelType w:val="hybridMultilevel"/>
    <w:tmpl w:val="7D58F6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5CD203C"/>
    <w:multiLevelType w:val="hybridMultilevel"/>
    <w:tmpl w:val="93B4F354"/>
    <w:styleLink w:val="ImportedStyle1"/>
    <w:lvl w:ilvl="0" w:tplc="6B365DD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645BE6">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B22904">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66890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10A7E2">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7A9E0C">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2F40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FE6484">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F2B3E8">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3260F3"/>
    <w:multiLevelType w:val="hybridMultilevel"/>
    <w:tmpl w:val="0AF0D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1430CA"/>
    <w:multiLevelType w:val="hybridMultilevel"/>
    <w:tmpl w:val="FE26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60B7F"/>
    <w:multiLevelType w:val="hybridMultilevel"/>
    <w:tmpl w:val="848ED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DF4922"/>
    <w:multiLevelType w:val="hybridMultilevel"/>
    <w:tmpl w:val="D15A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E7E97"/>
    <w:multiLevelType w:val="hybridMultilevel"/>
    <w:tmpl w:val="4B3EE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373C7"/>
    <w:multiLevelType w:val="hybridMultilevel"/>
    <w:tmpl w:val="B3EE4D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0323B12"/>
    <w:multiLevelType w:val="hybridMultilevel"/>
    <w:tmpl w:val="DF9A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02B74"/>
    <w:multiLevelType w:val="hybridMultilevel"/>
    <w:tmpl w:val="7F962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BC24D8"/>
    <w:multiLevelType w:val="hybridMultilevel"/>
    <w:tmpl w:val="53265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6D3CA5"/>
    <w:multiLevelType w:val="hybridMultilevel"/>
    <w:tmpl w:val="8F40EFEE"/>
    <w:lvl w:ilvl="0" w:tplc="35E4B4B0">
      <w:start w:val="1"/>
      <w:numFmt w:val="bullet"/>
      <w:lvlText w:val="•"/>
      <w:lvlJc w:val="left"/>
      <w:pPr>
        <w:tabs>
          <w:tab w:val="num" w:pos="720"/>
        </w:tabs>
        <w:ind w:left="720" w:hanging="360"/>
      </w:pPr>
      <w:rPr>
        <w:rFonts w:ascii="Arial" w:hAnsi="Arial" w:hint="default"/>
      </w:rPr>
    </w:lvl>
    <w:lvl w:ilvl="1" w:tplc="5148BCB2" w:tentative="1">
      <w:start w:val="1"/>
      <w:numFmt w:val="bullet"/>
      <w:lvlText w:val="•"/>
      <w:lvlJc w:val="left"/>
      <w:pPr>
        <w:tabs>
          <w:tab w:val="num" w:pos="1440"/>
        </w:tabs>
        <w:ind w:left="1440" w:hanging="360"/>
      </w:pPr>
      <w:rPr>
        <w:rFonts w:ascii="Arial" w:hAnsi="Arial" w:hint="default"/>
      </w:rPr>
    </w:lvl>
    <w:lvl w:ilvl="2" w:tplc="692889E0" w:tentative="1">
      <w:start w:val="1"/>
      <w:numFmt w:val="bullet"/>
      <w:lvlText w:val="•"/>
      <w:lvlJc w:val="left"/>
      <w:pPr>
        <w:tabs>
          <w:tab w:val="num" w:pos="2160"/>
        </w:tabs>
        <w:ind w:left="2160" w:hanging="360"/>
      </w:pPr>
      <w:rPr>
        <w:rFonts w:ascii="Arial" w:hAnsi="Arial" w:hint="default"/>
      </w:rPr>
    </w:lvl>
    <w:lvl w:ilvl="3" w:tplc="F13E7344" w:tentative="1">
      <w:start w:val="1"/>
      <w:numFmt w:val="bullet"/>
      <w:lvlText w:val="•"/>
      <w:lvlJc w:val="left"/>
      <w:pPr>
        <w:tabs>
          <w:tab w:val="num" w:pos="2880"/>
        </w:tabs>
        <w:ind w:left="2880" w:hanging="360"/>
      </w:pPr>
      <w:rPr>
        <w:rFonts w:ascii="Arial" w:hAnsi="Arial" w:hint="default"/>
      </w:rPr>
    </w:lvl>
    <w:lvl w:ilvl="4" w:tplc="7F6854CA" w:tentative="1">
      <w:start w:val="1"/>
      <w:numFmt w:val="bullet"/>
      <w:lvlText w:val="•"/>
      <w:lvlJc w:val="left"/>
      <w:pPr>
        <w:tabs>
          <w:tab w:val="num" w:pos="3600"/>
        </w:tabs>
        <w:ind w:left="3600" w:hanging="360"/>
      </w:pPr>
      <w:rPr>
        <w:rFonts w:ascii="Arial" w:hAnsi="Arial" w:hint="default"/>
      </w:rPr>
    </w:lvl>
    <w:lvl w:ilvl="5" w:tplc="29A047A0" w:tentative="1">
      <w:start w:val="1"/>
      <w:numFmt w:val="bullet"/>
      <w:lvlText w:val="•"/>
      <w:lvlJc w:val="left"/>
      <w:pPr>
        <w:tabs>
          <w:tab w:val="num" w:pos="4320"/>
        </w:tabs>
        <w:ind w:left="4320" w:hanging="360"/>
      </w:pPr>
      <w:rPr>
        <w:rFonts w:ascii="Arial" w:hAnsi="Arial" w:hint="default"/>
      </w:rPr>
    </w:lvl>
    <w:lvl w:ilvl="6" w:tplc="1E8A1A9A" w:tentative="1">
      <w:start w:val="1"/>
      <w:numFmt w:val="bullet"/>
      <w:lvlText w:val="•"/>
      <w:lvlJc w:val="left"/>
      <w:pPr>
        <w:tabs>
          <w:tab w:val="num" w:pos="5040"/>
        </w:tabs>
        <w:ind w:left="5040" w:hanging="360"/>
      </w:pPr>
      <w:rPr>
        <w:rFonts w:ascii="Arial" w:hAnsi="Arial" w:hint="default"/>
      </w:rPr>
    </w:lvl>
    <w:lvl w:ilvl="7" w:tplc="0D10963C" w:tentative="1">
      <w:start w:val="1"/>
      <w:numFmt w:val="bullet"/>
      <w:lvlText w:val="•"/>
      <w:lvlJc w:val="left"/>
      <w:pPr>
        <w:tabs>
          <w:tab w:val="num" w:pos="5760"/>
        </w:tabs>
        <w:ind w:left="5760" w:hanging="360"/>
      </w:pPr>
      <w:rPr>
        <w:rFonts w:ascii="Arial" w:hAnsi="Arial" w:hint="default"/>
      </w:rPr>
    </w:lvl>
    <w:lvl w:ilvl="8" w:tplc="042202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DC4401"/>
    <w:multiLevelType w:val="hybridMultilevel"/>
    <w:tmpl w:val="93B4F354"/>
    <w:numStyleLink w:val="ImportedStyle1"/>
  </w:abstractNum>
  <w:abstractNum w:abstractNumId="19" w15:restartNumberingAfterBreak="0">
    <w:nsid w:val="4B0B3501"/>
    <w:multiLevelType w:val="hybridMultilevel"/>
    <w:tmpl w:val="5BCAE78A"/>
    <w:lvl w:ilvl="0" w:tplc="0409000F">
      <w:start w:val="1"/>
      <w:numFmt w:val="decimal"/>
      <w:lvlText w:val="%1."/>
      <w:lvlJc w:val="left"/>
      <w:pPr>
        <w:ind w:left="360" w:hanging="360"/>
      </w:pPr>
      <w:rPr>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1E8E588">
      <w:start w:val="1"/>
      <w:numFmt w:val="bullet"/>
      <w:lvlText w:val="•"/>
      <w:lvlJc w:val="left"/>
      <w:pPr>
        <w:ind w:left="108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44241AA">
      <w:start w:val="1"/>
      <w:numFmt w:val="bullet"/>
      <w:lvlText w:val="•"/>
      <w:lvlJc w:val="left"/>
      <w:pPr>
        <w:ind w:left="180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31C9ADC">
      <w:start w:val="1"/>
      <w:numFmt w:val="bullet"/>
      <w:lvlText w:val="•"/>
      <w:lvlJc w:val="left"/>
      <w:pPr>
        <w:ind w:left="252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412ECC4">
      <w:start w:val="1"/>
      <w:numFmt w:val="bullet"/>
      <w:lvlText w:val="•"/>
      <w:lvlJc w:val="left"/>
      <w:pPr>
        <w:ind w:left="324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00E09DE">
      <w:start w:val="1"/>
      <w:numFmt w:val="bullet"/>
      <w:lvlText w:val="•"/>
      <w:lvlJc w:val="left"/>
      <w:pPr>
        <w:ind w:left="39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AD224BC">
      <w:start w:val="1"/>
      <w:numFmt w:val="bullet"/>
      <w:lvlText w:val="•"/>
      <w:lvlJc w:val="left"/>
      <w:pPr>
        <w:ind w:left="468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328A200">
      <w:start w:val="1"/>
      <w:numFmt w:val="bullet"/>
      <w:lvlText w:val="•"/>
      <w:lvlJc w:val="left"/>
      <w:pPr>
        <w:ind w:left="540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61C0338">
      <w:start w:val="1"/>
      <w:numFmt w:val="bullet"/>
      <w:lvlText w:val="•"/>
      <w:lvlJc w:val="left"/>
      <w:pPr>
        <w:ind w:left="612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50B7386E"/>
    <w:multiLevelType w:val="hybridMultilevel"/>
    <w:tmpl w:val="2D36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949DC"/>
    <w:multiLevelType w:val="hybridMultilevel"/>
    <w:tmpl w:val="9FFE4CC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321850"/>
    <w:multiLevelType w:val="hybridMultilevel"/>
    <w:tmpl w:val="0916EB86"/>
    <w:lvl w:ilvl="0" w:tplc="CC8EF78A">
      <w:numFmt w:val="bullet"/>
      <w:lvlText w:val="•"/>
      <w:lvlJc w:val="left"/>
      <w:pPr>
        <w:ind w:left="1080" w:hanging="360"/>
      </w:pPr>
      <w:rPr>
        <w:rFonts w:ascii="Arial Narrow" w:eastAsiaTheme="minorHAnsi" w:hAnsi="Arial Narrow"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B5151E0"/>
    <w:multiLevelType w:val="multilevel"/>
    <w:tmpl w:val="6826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98013D"/>
    <w:multiLevelType w:val="hybridMultilevel"/>
    <w:tmpl w:val="7462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F7AF1"/>
    <w:multiLevelType w:val="hybridMultilevel"/>
    <w:tmpl w:val="A32C75FA"/>
    <w:lvl w:ilvl="0" w:tplc="5718A784">
      <w:start w:val="1"/>
      <w:numFmt w:val="bullet"/>
      <w:lvlText w:val="•"/>
      <w:lvlJc w:val="left"/>
      <w:pPr>
        <w:tabs>
          <w:tab w:val="num" w:pos="720"/>
        </w:tabs>
        <w:ind w:left="720" w:hanging="360"/>
      </w:pPr>
      <w:rPr>
        <w:rFonts w:ascii="Arial" w:hAnsi="Arial" w:hint="default"/>
      </w:rPr>
    </w:lvl>
    <w:lvl w:ilvl="1" w:tplc="242854CC" w:tentative="1">
      <w:start w:val="1"/>
      <w:numFmt w:val="bullet"/>
      <w:lvlText w:val="•"/>
      <w:lvlJc w:val="left"/>
      <w:pPr>
        <w:tabs>
          <w:tab w:val="num" w:pos="1440"/>
        </w:tabs>
        <w:ind w:left="1440" w:hanging="360"/>
      </w:pPr>
      <w:rPr>
        <w:rFonts w:ascii="Arial" w:hAnsi="Arial" w:hint="default"/>
      </w:rPr>
    </w:lvl>
    <w:lvl w:ilvl="2" w:tplc="958C9246" w:tentative="1">
      <w:start w:val="1"/>
      <w:numFmt w:val="bullet"/>
      <w:lvlText w:val="•"/>
      <w:lvlJc w:val="left"/>
      <w:pPr>
        <w:tabs>
          <w:tab w:val="num" w:pos="2160"/>
        </w:tabs>
        <w:ind w:left="2160" w:hanging="360"/>
      </w:pPr>
      <w:rPr>
        <w:rFonts w:ascii="Arial" w:hAnsi="Arial" w:hint="default"/>
      </w:rPr>
    </w:lvl>
    <w:lvl w:ilvl="3" w:tplc="13B0929C" w:tentative="1">
      <w:start w:val="1"/>
      <w:numFmt w:val="bullet"/>
      <w:lvlText w:val="•"/>
      <w:lvlJc w:val="left"/>
      <w:pPr>
        <w:tabs>
          <w:tab w:val="num" w:pos="2880"/>
        </w:tabs>
        <w:ind w:left="2880" w:hanging="360"/>
      </w:pPr>
      <w:rPr>
        <w:rFonts w:ascii="Arial" w:hAnsi="Arial" w:hint="default"/>
      </w:rPr>
    </w:lvl>
    <w:lvl w:ilvl="4" w:tplc="1206C086" w:tentative="1">
      <w:start w:val="1"/>
      <w:numFmt w:val="bullet"/>
      <w:lvlText w:val="•"/>
      <w:lvlJc w:val="left"/>
      <w:pPr>
        <w:tabs>
          <w:tab w:val="num" w:pos="3600"/>
        </w:tabs>
        <w:ind w:left="3600" w:hanging="360"/>
      </w:pPr>
      <w:rPr>
        <w:rFonts w:ascii="Arial" w:hAnsi="Arial" w:hint="default"/>
      </w:rPr>
    </w:lvl>
    <w:lvl w:ilvl="5" w:tplc="73D418EA" w:tentative="1">
      <w:start w:val="1"/>
      <w:numFmt w:val="bullet"/>
      <w:lvlText w:val="•"/>
      <w:lvlJc w:val="left"/>
      <w:pPr>
        <w:tabs>
          <w:tab w:val="num" w:pos="4320"/>
        </w:tabs>
        <w:ind w:left="4320" w:hanging="360"/>
      </w:pPr>
      <w:rPr>
        <w:rFonts w:ascii="Arial" w:hAnsi="Arial" w:hint="default"/>
      </w:rPr>
    </w:lvl>
    <w:lvl w:ilvl="6" w:tplc="4FD40D2C" w:tentative="1">
      <w:start w:val="1"/>
      <w:numFmt w:val="bullet"/>
      <w:lvlText w:val="•"/>
      <w:lvlJc w:val="left"/>
      <w:pPr>
        <w:tabs>
          <w:tab w:val="num" w:pos="5040"/>
        </w:tabs>
        <w:ind w:left="5040" w:hanging="360"/>
      </w:pPr>
      <w:rPr>
        <w:rFonts w:ascii="Arial" w:hAnsi="Arial" w:hint="default"/>
      </w:rPr>
    </w:lvl>
    <w:lvl w:ilvl="7" w:tplc="A328A8B8" w:tentative="1">
      <w:start w:val="1"/>
      <w:numFmt w:val="bullet"/>
      <w:lvlText w:val="•"/>
      <w:lvlJc w:val="left"/>
      <w:pPr>
        <w:tabs>
          <w:tab w:val="num" w:pos="5760"/>
        </w:tabs>
        <w:ind w:left="5760" w:hanging="360"/>
      </w:pPr>
      <w:rPr>
        <w:rFonts w:ascii="Arial" w:hAnsi="Arial" w:hint="default"/>
      </w:rPr>
    </w:lvl>
    <w:lvl w:ilvl="8" w:tplc="397809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F35462"/>
    <w:multiLevelType w:val="hybridMultilevel"/>
    <w:tmpl w:val="14C2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A96C77"/>
    <w:multiLevelType w:val="hybridMultilevel"/>
    <w:tmpl w:val="9E06C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12"/>
  </w:num>
  <w:num w:numId="4">
    <w:abstractNumId w:val="23"/>
  </w:num>
  <w:num w:numId="5">
    <w:abstractNumId w:val="27"/>
  </w:num>
  <w:num w:numId="6">
    <w:abstractNumId w:val="14"/>
  </w:num>
  <w:num w:numId="7">
    <w:abstractNumId w:val="5"/>
  </w:num>
  <w:num w:numId="8">
    <w:abstractNumId w:val="24"/>
  </w:num>
  <w:num w:numId="9">
    <w:abstractNumId w:val="26"/>
  </w:num>
  <w:num w:numId="10">
    <w:abstractNumId w:val="21"/>
  </w:num>
  <w:num w:numId="11">
    <w:abstractNumId w:val="20"/>
  </w:num>
  <w:num w:numId="12">
    <w:abstractNumId w:val="1"/>
  </w:num>
  <w:num w:numId="13">
    <w:abstractNumId w:val="15"/>
  </w:num>
  <w:num w:numId="14">
    <w:abstractNumId w:val="7"/>
  </w:num>
  <w:num w:numId="15">
    <w:abstractNumId w:val="18"/>
    <w:lvlOverride w:ilvl="0">
      <w:lvl w:ilvl="0" w:tplc="10247508">
        <w:start w:val="1"/>
        <w:numFmt w:val="bullet"/>
        <w:lvlText w:val="•"/>
        <w:lvlJc w:val="left"/>
        <w:pPr>
          <w:ind w:left="262" w:hanging="26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7148768">
        <w:start w:val="1"/>
        <w:numFmt w:val="bullet"/>
        <w:lvlText w:val="•"/>
        <w:lvlJc w:val="left"/>
        <w:pPr>
          <w:ind w:left="982" w:hanging="26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3EC776C">
        <w:start w:val="1"/>
        <w:numFmt w:val="bullet"/>
        <w:lvlText w:val="•"/>
        <w:lvlJc w:val="left"/>
        <w:pPr>
          <w:ind w:left="1702" w:hanging="26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5A6E36E">
        <w:start w:val="1"/>
        <w:numFmt w:val="bullet"/>
        <w:lvlText w:val="•"/>
        <w:lvlJc w:val="left"/>
        <w:pPr>
          <w:ind w:left="2422" w:hanging="26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8309090">
        <w:start w:val="1"/>
        <w:numFmt w:val="bullet"/>
        <w:lvlText w:val="•"/>
        <w:lvlJc w:val="left"/>
        <w:pPr>
          <w:ind w:left="3142" w:hanging="26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72504E">
        <w:start w:val="1"/>
        <w:numFmt w:val="bullet"/>
        <w:lvlText w:val="•"/>
        <w:lvlJc w:val="left"/>
        <w:pPr>
          <w:ind w:left="3862" w:hanging="26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264C3B0">
        <w:start w:val="1"/>
        <w:numFmt w:val="bullet"/>
        <w:lvlText w:val="•"/>
        <w:lvlJc w:val="left"/>
        <w:pPr>
          <w:ind w:left="4582" w:hanging="26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A1C42AC">
        <w:start w:val="1"/>
        <w:numFmt w:val="bullet"/>
        <w:lvlText w:val="•"/>
        <w:lvlJc w:val="left"/>
        <w:pPr>
          <w:ind w:left="5302" w:hanging="26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644C33A">
        <w:start w:val="1"/>
        <w:numFmt w:val="bullet"/>
        <w:lvlText w:val="•"/>
        <w:lvlJc w:val="left"/>
        <w:pPr>
          <w:ind w:left="6022" w:hanging="26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num>
  <w:num w:numId="17">
    <w:abstractNumId w:val="3"/>
  </w:num>
  <w:num w:numId="18">
    <w:abstractNumId w:val="2"/>
  </w:num>
  <w:num w:numId="19">
    <w:abstractNumId w:val="10"/>
  </w:num>
  <w:num w:numId="20">
    <w:abstractNumId w:val="22"/>
  </w:num>
  <w:num w:numId="21">
    <w:abstractNumId w:val="8"/>
  </w:num>
  <w:num w:numId="22">
    <w:abstractNumId w:val="19"/>
  </w:num>
  <w:num w:numId="23">
    <w:abstractNumId w:val="16"/>
  </w:num>
  <w:num w:numId="24">
    <w:abstractNumId w:val="17"/>
  </w:num>
  <w:num w:numId="25">
    <w:abstractNumId w:val="13"/>
  </w:num>
  <w:num w:numId="26">
    <w:abstractNumId w:val="25"/>
  </w:num>
  <w:num w:numId="27">
    <w:abstractNumId w:val="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0&lt;/ScanUnformatted&gt;&lt;ScanChanges&gt;0&lt;/ScanChanges&gt;&lt;Suspended&gt;1&lt;/Suspended&gt;&lt;/ENInstantFormat&gt;"/>
  </w:docVars>
  <w:rsids>
    <w:rsidRoot w:val="00B617CB"/>
    <w:rsid w:val="000D7F86"/>
    <w:rsid w:val="000E2EA5"/>
    <w:rsid w:val="00194942"/>
    <w:rsid w:val="0022045E"/>
    <w:rsid w:val="003665E6"/>
    <w:rsid w:val="0037244E"/>
    <w:rsid w:val="00377277"/>
    <w:rsid w:val="004842C9"/>
    <w:rsid w:val="005C6B32"/>
    <w:rsid w:val="0060012D"/>
    <w:rsid w:val="00670C27"/>
    <w:rsid w:val="007237E1"/>
    <w:rsid w:val="007A3F35"/>
    <w:rsid w:val="007E7B18"/>
    <w:rsid w:val="008207DE"/>
    <w:rsid w:val="008347D8"/>
    <w:rsid w:val="0084416B"/>
    <w:rsid w:val="00874229"/>
    <w:rsid w:val="009C1BDA"/>
    <w:rsid w:val="00A17806"/>
    <w:rsid w:val="00A97AB4"/>
    <w:rsid w:val="00B617CB"/>
    <w:rsid w:val="00BA208B"/>
    <w:rsid w:val="00BD1CAB"/>
    <w:rsid w:val="00C62A17"/>
    <w:rsid w:val="00CB1C31"/>
    <w:rsid w:val="00F57C63"/>
    <w:rsid w:val="00F723A2"/>
    <w:rsid w:val="00FC1D79"/>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052E"/>
  <w15:docId w15:val="{F819CA5D-9A68-43AF-AD0D-DC3288D8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7CB"/>
    <w:pPr>
      <w:spacing w:after="0" w:line="240" w:lineRule="auto"/>
    </w:pPr>
    <w:rPr>
      <w:rFonts w:ascii="Arial" w:hAnsi="Arial"/>
      <w:color w:val="000000" w:themeColor="text1"/>
      <w:sz w:val="24"/>
      <w:lang w:val="en-GB"/>
    </w:rPr>
  </w:style>
  <w:style w:type="paragraph" w:styleId="Heading1">
    <w:name w:val="heading 1"/>
    <w:basedOn w:val="Normal"/>
    <w:next w:val="Normal"/>
    <w:link w:val="Heading1Char"/>
    <w:uiPriority w:val="9"/>
    <w:qFormat/>
    <w:rsid w:val="00B617CB"/>
    <w:pPr>
      <w:keepNext/>
      <w:keepLines/>
      <w:outlineLvl w:val="0"/>
    </w:pPr>
    <w:rPr>
      <w:rFonts w:eastAsiaTheme="majorEastAsia" w:cstheme="majorBidi"/>
      <w:b/>
      <w:bCs/>
      <w:color w:val="002060"/>
      <w:sz w:val="32"/>
      <w:szCs w:val="28"/>
    </w:rPr>
  </w:style>
  <w:style w:type="paragraph" w:styleId="Heading2">
    <w:name w:val="heading 2"/>
    <w:basedOn w:val="Normal"/>
    <w:next w:val="Normal"/>
    <w:link w:val="Heading2Char"/>
    <w:uiPriority w:val="9"/>
    <w:unhideWhenUsed/>
    <w:qFormat/>
    <w:rsid w:val="00B617CB"/>
    <w:pPr>
      <w:keepNext/>
      <w:keepLines/>
      <w:outlineLvl w:val="1"/>
    </w:pPr>
    <w:rPr>
      <w:rFonts w:eastAsiaTheme="majorEastAsia" w:cstheme="majorBidi"/>
      <w:b/>
      <w:bCs/>
      <w:color w:val="002060"/>
      <w:sz w:val="28"/>
      <w:szCs w:val="26"/>
    </w:rPr>
  </w:style>
  <w:style w:type="paragraph" w:styleId="Heading3">
    <w:name w:val="heading 3"/>
    <w:basedOn w:val="Normal"/>
    <w:next w:val="Normal"/>
    <w:link w:val="Heading3Char"/>
    <w:uiPriority w:val="9"/>
    <w:unhideWhenUsed/>
    <w:qFormat/>
    <w:rsid w:val="00B617CB"/>
    <w:pPr>
      <w:keepNext/>
      <w:keepLines/>
      <w:outlineLvl w:val="2"/>
    </w:pPr>
    <w:rPr>
      <w:rFonts w:eastAsiaTheme="majorEastAsia" w:cstheme="majorBidi"/>
      <w:b/>
      <w:bCs/>
      <w:color w:val="002060"/>
    </w:rPr>
  </w:style>
  <w:style w:type="paragraph" w:styleId="Heading4">
    <w:name w:val="heading 4"/>
    <w:basedOn w:val="Normal"/>
    <w:next w:val="Normal"/>
    <w:link w:val="Heading4Char"/>
    <w:uiPriority w:val="9"/>
    <w:unhideWhenUsed/>
    <w:qFormat/>
    <w:rsid w:val="00B617CB"/>
    <w:pPr>
      <w:keepNext/>
      <w:keepLines/>
      <w:outlineLvl w:val="3"/>
    </w:pPr>
    <w:rPr>
      <w:rFonts w:eastAsiaTheme="majorEastAsia" w:cstheme="majorBidi"/>
      <w:b/>
      <w:bCs/>
      <w:i/>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7CB"/>
    <w:rPr>
      <w:rFonts w:ascii="Arial" w:eastAsiaTheme="majorEastAsia" w:hAnsi="Arial" w:cstheme="majorBidi"/>
      <w:b/>
      <w:bCs/>
      <w:color w:val="002060"/>
      <w:sz w:val="32"/>
      <w:szCs w:val="28"/>
      <w:lang w:val="en-GB"/>
    </w:rPr>
  </w:style>
  <w:style w:type="character" w:customStyle="1" w:styleId="Heading2Char">
    <w:name w:val="Heading 2 Char"/>
    <w:basedOn w:val="DefaultParagraphFont"/>
    <w:link w:val="Heading2"/>
    <w:uiPriority w:val="9"/>
    <w:rsid w:val="00B617CB"/>
    <w:rPr>
      <w:rFonts w:ascii="Arial" w:eastAsiaTheme="majorEastAsia" w:hAnsi="Arial" w:cstheme="majorBidi"/>
      <w:b/>
      <w:bCs/>
      <w:color w:val="002060"/>
      <w:sz w:val="28"/>
      <w:szCs w:val="26"/>
      <w:lang w:val="en-GB"/>
    </w:rPr>
  </w:style>
  <w:style w:type="character" w:customStyle="1" w:styleId="Heading3Char">
    <w:name w:val="Heading 3 Char"/>
    <w:basedOn w:val="DefaultParagraphFont"/>
    <w:link w:val="Heading3"/>
    <w:uiPriority w:val="9"/>
    <w:rsid w:val="00B617CB"/>
    <w:rPr>
      <w:rFonts w:ascii="Arial" w:eastAsiaTheme="majorEastAsia" w:hAnsi="Arial" w:cstheme="majorBidi"/>
      <w:b/>
      <w:bCs/>
      <w:color w:val="002060"/>
      <w:sz w:val="24"/>
      <w:lang w:val="en-GB"/>
    </w:rPr>
  </w:style>
  <w:style w:type="character" w:customStyle="1" w:styleId="Heading4Char">
    <w:name w:val="Heading 4 Char"/>
    <w:basedOn w:val="DefaultParagraphFont"/>
    <w:link w:val="Heading4"/>
    <w:uiPriority w:val="9"/>
    <w:rsid w:val="00B617CB"/>
    <w:rPr>
      <w:rFonts w:ascii="Arial" w:eastAsiaTheme="majorEastAsia" w:hAnsi="Arial" w:cstheme="majorBidi"/>
      <w:b/>
      <w:bCs/>
      <w:i/>
      <w:iCs/>
      <w:color w:val="002060"/>
      <w:sz w:val="24"/>
      <w:lang w:val="en-GB"/>
    </w:rPr>
  </w:style>
  <w:style w:type="paragraph" w:styleId="ListParagraph">
    <w:name w:val="List Paragraph"/>
    <w:basedOn w:val="Normal"/>
    <w:uiPriority w:val="34"/>
    <w:qFormat/>
    <w:rsid w:val="00B617CB"/>
    <w:pPr>
      <w:ind w:left="720"/>
      <w:contextualSpacing/>
    </w:pPr>
  </w:style>
  <w:style w:type="paragraph" w:styleId="NormalWeb">
    <w:name w:val="Normal (Web)"/>
    <w:basedOn w:val="Normal"/>
    <w:uiPriority w:val="99"/>
    <w:unhideWhenUsed/>
    <w:rsid w:val="00B617CB"/>
    <w:pPr>
      <w:spacing w:before="100" w:beforeAutospacing="1" w:after="100" w:afterAutospacing="1"/>
    </w:pPr>
    <w:rPr>
      <w:rFonts w:ascii="Times New Roman" w:eastAsia="Times New Roman" w:hAnsi="Times New Roman" w:cs="Times New Roman"/>
      <w:color w:val="auto"/>
      <w:szCs w:val="24"/>
      <w:lang w:eastAsia="en-GB"/>
    </w:rPr>
  </w:style>
  <w:style w:type="character" w:styleId="CommentReference">
    <w:name w:val="annotation reference"/>
    <w:basedOn w:val="DefaultParagraphFont"/>
    <w:uiPriority w:val="99"/>
    <w:semiHidden/>
    <w:unhideWhenUsed/>
    <w:rsid w:val="00B617CB"/>
    <w:rPr>
      <w:sz w:val="16"/>
      <w:szCs w:val="16"/>
    </w:rPr>
  </w:style>
  <w:style w:type="paragraph" w:styleId="CommentText">
    <w:name w:val="annotation text"/>
    <w:basedOn w:val="Normal"/>
    <w:link w:val="CommentTextChar"/>
    <w:uiPriority w:val="99"/>
    <w:unhideWhenUsed/>
    <w:rsid w:val="00B617CB"/>
    <w:rPr>
      <w:sz w:val="20"/>
      <w:szCs w:val="20"/>
    </w:rPr>
  </w:style>
  <w:style w:type="character" w:customStyle="1" w:styleId="CommentTextChar">
    <w:name w:val="Comment Text Char"/>
    <w:basedOn w:val="DefaultParagraphFont"/>
    <w:link w:val="CommentText"/>
    <w:uiPriority w:val="99"/>
    <w:rsid w:val="00B617CB"/>
    <w:rPr>
      <w:rFonts w:ascii="Arial" w:hAnsi="Arial"/>
      <w:color w:val="000000" w:themeColor="text1"/>
      <w:sz w:val="20"/>
      <w:szCs w:val="20"/>
      <w:lang w:val="en-GB"/>
    </w:rPr>
  </w:style>
  <w:style w:type="paragraph" w:customStyle="1" w:styleId="contentdescription">
    <w:name w:val="contentdescription"/>
    <w:basedOn w:val="Normal"/>
    <w:rsid w:val="00B617CB"/>
    <w:pPr>
      <w:spacing w:before="100" w:beforeAutospacing="1" w:after="100" w:afterAutospacing="1"/>
    </w:pPr>
    <w:rPr>
      <w:rFonts w:ascii="Times New Roman" w:eastAsia="Times New Roman" w:hAnsi="Times New Roman" w:cs="Times New Roman"/>
      <w:color w:val="auto"/>
      <w:szCs w:val="24"/>
      <w:lang w:eastAsia="en-GB"/>
    </w:rPr>
  </w:style>
  <w:style w:type="character" w:styleId="Hyperlink">
    <w:name w:val="Hyperlink"/>
    <w:basedOn w:val="DefaultParagraphFont"/>
    <w:uiPriority w:val="99"/>
    <w:unhideWhenUsed/>
    <w:rsid w:val="00B617CB"/>
    <w:rPr>
      <w:color w:val="0000FF" w:themeColor="hyperlink"/>
      <w:u w:val="single"/>
    </w:rPr>
  </w:style>
  <w:style w:type="paragraph" w:styleId="BalloonText">
    <w:name w:val="Balloon Text"/>
    <w:basedOn w:val="Normal"/>
    <w:link w:val="BalloonTextChar"/>
    <w:uiPriority w:val="99"/>
    <w:semiHidden/>
    <w:unhideWhenUsed/>
    <w:rsid w:val="00B617CB"/>
    <w:rPr>
      <w:rFonts w:ascii="Tahoma" w:hAnsi="Tahoma" w:cs="Tahoma"/>
      <w:sz w:val="16"/>
      <w:szCs w:val="16"/>
    </w:rPr>
  </w:style>
  <w:style w:type="character" w:customStyle="1" w:styleId="BalloonTextChar">
    <w:name w:val="Balloon Text Char"/>
    <w:basedOn w:val="DefaultParagraphFont"/>
    <w:link w:val="BalloonText"/>
    <w:uiPriority w:val="99"/>
    <w:semiHidden/>
    <w:rsid w:val="00B617CB"/>
    <w:rPr>
      <w:rFonts w:ascii="Tahoma" w:hAnsi="Tahoma" w:cs="Tahoma"/>
      <w:color w:val="000000" w:themeColor="text1"/>
      <w:sz w:val="16"/>
      <w:szCs w:val="16"/>
      <w:lang w:val="en-GB"/>
    </w:rPr>
  </w:style>
  <w:style w:type="paragraph" w:styleId="Header">
    <w:name w:val="header"/>
    <w:basedOn w:val="Normal"/>
    <w:link w:val="HeaderChar"/>
    <w:uiPriority w:val="99"/>
    <w:unhideWhenUsed/>
    <w:rsid w:val="00B617CB"/>
    <w:pPr>
      <w:tabs>
        <w:tab w:val="center" w:pos="4513"/>
        <w:tab w:val="right" w:pos="9026"/>
      </w:tabs>
    </w:pPr>
  </w:style>
  <w:style w:type="character" w:customStyle="1" w:styleId="HeaderChar">
    <w:name w:val="Header Char"/>
    <w:basedOn w:val="DefaultParagraphFont"/>
    <w:link w:val="Header"/>
    <w:uiPriority w:val="99"/>
    <w:rsid w:val="00B617CB"/>
    <w:rPr>
      <w:rFonts w:ascii="Arial" w:hAnsi="Arial"/>
      <w:color w:val="000000" w:themeColor="text1"/>
      <w:sz w:val="24"/>
      <w:lang w:val="en-GB"/>
    </w:rPr>
  </w:style>
  <w:style w:type="paragraph" w:styleId="Footer">
    <w:name w:val="footer"/>
    <w:basedOn w:val="Normal"/>
    <w:link w:val="FooterChar"/>
    <w:uiPriority w:val="99"/>
    <w:unhideWhenUsed/>
    <w:rsid w:val="00B617CB"/>
    <w:pPr>
      <w:tabs>
        <w:tab w:val="center" w:pos="4513"/>
        <w:tab w:val="right" w:pos="9026"/>
      </w:tabs>
    </w:pPr>
  </w:style>
  <w:style w:type="character" w:customStyle="1" w:styleId="FooterChar">
    <w:name w:val="Footer Char"/>
    <w:basedOn w:val="DefaultParagraphFont"/>
    <w:link w:val="Footer"/>
    <w:uiPriority w:val="99"/>
    <w:rsid w:val="00B617CB"/>
    <w:rPr>
      <w:rFonts w:ascii="Arial" w:hAnsi="Arial"/>
      <w:color w:val="000000" w:themeColor="text1"/>
      <w:sz w:val="24"/>
      <w:lang w:val="en-GB"/>
    </w:rPr>
  </w:style>
  <w:style w:type="paragraph" w:styleId="TOCHeading">
    <w:name w:val="TOC Heading"/>
    <w:basedOn w:val="Heading1"/>
    <w:next w:val="Normal"/>
    <w:uiPriority w:val="39"/>
    <w:unhideWhenUsed/>
    <w:qFormat/>
    <w:rsid w:val="00B617CB"/>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617CB"/>
    <w:pPr>
      <w:spacing w:after="100"/>
    </w:pPr>
  </w:style>
  <w:style w:type="paragraph" w:styleId="TOC2">
    <w:name w:val="toc 2"/>
    <w:basedOn w:val="Normal"/>
    <w:next w:val="Normal"/>
    <w:autoRedefine/>
    <w:uiPriority w:val="39"/>
    <w:unhideWhenUsed/>
    <w:rsid w:val="00B617CB"/>
    <w:pPr>
      <w:spacing w:after="100"/>
      <w:ind w:left="240"/>
    </w:pPr>
  </w:style>
  <w:style w:type="paragraph" w:styleId="TOC3">
    <w:name w:val="toc 3"/>
    <w:basedOn w:val="Normal"/>
    <w:next w:val="Normal"/>
    <w:autoRedefine/>
    <w:uiPriority w:val="39"/>
    <w:unhideWhenUsed/>
    <w:rsid w:val="00B617CB"/>
    <w:pPr>
      <w:spacing w:after="100"/>
      <w:ind w:left="480"/>
    </w:pPr>
  </w:style>
  <w:style w:type="paragraph" w:styleId="CommentSubject">
    <w:name w:val="annotation subject"/>
    <w:basedOn w:val="CommentText"/>
    <w:next w:val="CommentText"/>
    <w:link w:val="CommentSubjectChar"/>
    <w:uiPriority w:val="99"/>
    <w:semiHidden/>
    <w:unhideWhenUsed/>
    <w:rsid w:val="00B617CB"/>
    <w:rPr>
      <w:b/>
      <w:bCs/>
    </w:rPr>
  </w:style>
  <w:style w:type="character" w:customStyle="1" w:styleId="CommentSubjectChar">
    <w:name w:val="Comment Subject Char"/>
    <w:basedOn w:val="CommentTextChar"/>
    <w:link w:val="CommentSubject"/>
    <w:uiPriority w:val="99"/>
    <w:semiHidden/>
    <w:rsid w:val="00B617CB"/>
    <w:rPr>
      <w:rFonts w:ascii="Arial" w:hAnsi="Arial"/>
      <w:b/>
      <w:bCs/>
      <w:color w:val="000000" w:themeColor="text1"/>
      <w:sz w:val="20"/>
      <w:szCs w:val="20"/>
      <w:lang w:val="en-GB"/>
    </w:rPr>
  </w:style>
  <w:style w:type="paragraph" w:styleId="NoSpacing">
    <w:name w:val="No Spacing"/>
    <w:uiPriority w:val="1"/>
    <w:qFormat/>
    <w:rsid w:val="00B617CB"/>
    <w:pPr>
      <w:spacing w:after="0" w:line="240" w:lineRule="auto"/>
    </w:pPr>
    <w:rPr>
      <w:rFonts w:ascii="Arial" w:hAnsi="Arial"/>
      <w:color w:val="000000" w:themeColor="text1"/>
      <w:sz w:val="24"/>
      <w:lang w:val="en-GB"/>
    </w:rPr>
  </w:style>
  <w:style w:type="table" w:styleId="TableGrid">
    <w:name w:val="Table Grid"/>
    <w:basedOn w:val="TableNormal"/>
    <w:uiPriority w:val="59"/>
    <w:rsid w:val="00B617C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B617CB"/>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NZ"/>
    </w:rPr>
  </w:style>
  <w:style w:type="character" w:styleId="Emphasis">
    <w:name w:val="Emphasis"/>
    <w:basedOn w:val="DefaultParagraphFont"/>
    <w:uiPriority w:val="20"/>
    <w:qFormat/>
    <w:rsid w:val="00B617CB"/>
    <w:rPr>
      <w:i/>
      <w:iCs/>
    </w:rPr>
  </w:style>
  <w:style w:type="character" w:customStyle="1" w:styleId="None">
    <w:name w:val="None"/>
    <w:rsid w:val="00B617CB"/>
  </w:style>
  <w:style w:type="paragraph" w:customStyle="1" w:styleId="Default">
    <w:name w:val="Default"/>
    <w:rsid w:val="00B617CB"/>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n-NZ"/>
    </w:rPr>
  </w:style>
  <w:style w:type="numbering" w:customStyle="1" w:styleId="ImportedStyle1">
    <w:name w:val="Imported Style 1"/>
    <w:rsid w:val="00B617CB"/>
    <w:pPr>
      <w:numPr>
        <w:numId w:val="14"/>
      </w:numPr>
    </w:pPr>
  </w:style>
  <w:style w:type="paragraph" w:styleId="FootnoteText">
    <w:name w:val="footnote text"/>
    <w:basedOn w:val="Normal"/>
    <w:link w:val="FootnoteTextChar"/>
    <w:unhideWhenUsed/>
    <w:rsid w:val="00B617CB"/>
    <w:rPr>
      <w:sz w:val="20"/>
      <w:szCs w:val="20"/>
    </w:rPr>
  </w:style>
  <w:style w:type="character" w:customStyle="1" w:styleId="FootnoteTextChar">
    <w:name w:val="Footnote Text Char"/>
    <w:basedOn w:val="DefaultParagraphFont"/>
    <w:link w:val="FootnoteText"/>
    <w:uiPriority w:val="99"/>
    <w:rsid w:val="00B617CB"/>
    <w:rPr>
      <w:rFonts w:ascii="Arial" w:hAnsi="Arial"/>
      <w:color w:val="000000" w:themeColor="text1"/>
      <w:sz w:val="20"/>
      <w:szCs w:val="20"/>
      <w:lang w:val="en-GB"/>
    </w:rPr>
  </w:style>
  <w:style w:type="character" w:styleId="FootnoteReference">
    <w:name w:val="footnote reference"/>
    <w:basedOn w:val="DefaultParagraphFont"/>
    <w:unhideWhenUsed/>
    <w:rsid w:val="00B617CB"/>
    <w:rPr>
      <w:vertAlign w:val="superscript"/>
    </w:rPr>
  </w:style>
  <w:style w:type="numbering" w:customStyle="1" w:styleId="ImportedStyle2">
    <w:name w:val="Imported Style 2"/>
    <w:rsid w:val="00B617CB"/>
    <w:pPr>
      <w:numPr>
        <w:numId w:val="17"/>
      </w:numPr>
    </w:pPr>
  </w:style>
  <w:style w:type="paragraph" w:customStyle="1" w:styleId="Body">
    <w:name w:val="Body"/>
    <w:rsid w:val="00B617CB"/>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GB" w:eastAsia="en-GB"/>
    </w:rPr>
  </w:style>
  <w:style w:type="paragraph" w:customStyle="1" w:styleId="a">
    <w:name w:val="عادي"/>
    <w:rsid w:val="00B617CB"/>
    <w:pPr>
      <w:pBdr>
        <w:top w:val="nil"/>
        <w:left w:val="nil"/>
        <w:bottom w:val="nil"/>
        <w:right w:val="nil"/>
        <w:between w:val="nil"/>
        <w:bar w:val="nil"/>
      </w:pBdr>
      <w:bidi/>
      <w:spacing w:after="0" w:line="240" w:lineRule="auto"/>
    </w:pPr>
    <w:rPr>
      <w:rFonts w:ascii="Times New Roman" w:eastAsia="Arial Unicode MS" w:hAnsi="Times New Roman" w:cs="Arial Unicode MS"/>
      <w:color w:val="000000"/>
      <w:sz w:val="20"/>
      <w:szCs w:val="20"/>
      <w:u w:color="000000"/>
      <w:bdr w:val="nil"/>
      <w:lang w:val="en-US" w:eastAsia="en-NZ"/>
    </w:rPr>
  </w:style>
  <w:style w:type="character" w:styleId="IntenseEmphasis">
    <w:name w:val="Intense Emphasis"/>
    <w:basedOn w:val="DefaultParagraphFont"/>
    <w:uiPriority w:val="21"/>
    <w:qFormat/>
    <w:rsid w:val="00B617CB"/>
    <w:rPr>
      <w:b/>
      <w:bCs/>
      <w:i/>
      <w:iCs/>
      <w:color w:val="4F81BD" w:themeColor="accent1"/>
    </w:rPr>
  </w:style>
  <w:style w:type="paragraph" w:styleId="EndnoteText">
    <w:name w:val="endnote text"/>
    <w:basedOn w:val="Normal"/>
    <w:link w:val="EndnoteTextChar"/>
    <w:uiPriority w:val="99"/>
    <w:semiHidden/>
    <w:unhideWhenUsed/>
    <w:rsid w:val="0084416B"/>
    <w:rPr>
      <w:sz w:val="20"/>
      <w:szCs w:val="20"/>
    </w:rPr>
  </w:style>
  <w:style w:type="character" w:customStyle="1" w:styleId="EndnoteTextChar">
    <w:name w:val="Endnote Text Char"/>
    <w:basedOn w:val="DefaultParagraphFont"/>
    <w:link w:val="EndnoteText"/>
    <w:uiPriority w:val="99"/>
    <w:semiHidden/>
    <w:rsid w:val="0084416B"/>
    <w:rPr>
      <w:rFonts w:ascii="Arial" w:hAnsi="Arial"/>
      <w:color w:val="000000" w:themeColor="text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D7AD-2064-44EF-B228-766B840A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34</Pages>
  <Words>12149</Words>
  <Characters>69251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Khayat</dc:creator>
  <cp:lastModifiedBy>Ingrid Lewis</cp:lastModifiedBy>
  <cp:revision>5</cp:revision>
  <dcterms:created xsi:type="dcterms:W3CDTF">2018-02-05T17:51:00Z</dcterms:created>
  <dcterms:modified xsi:type="dcterms:W3CDTF">2018-02-05T19:22:00Z</dcterms:modified>
</cp:coreProperties>
</file>